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E-5870/2016 vom 1. November 2016</w:t>
      </w:r>
    </w:p>
    <w:p>
      <w:r>
        <w:t>Bundesverwaltungsgericht, 2016-11-01, DE</w:t>
      </w:r>
    </w:p>
    <w:p>
      <w:r>
        <w:rPr>
          <w:b/>
        </w:rPr>
        <w:t xml:space="preserve">Quelle: </w:t>
      </w:r>
      <w:r>
        <w:t>https://mcp.opencaselaw.ch/entscheid/bvger_E-5870_2016</w:t>
      </w:r>
    </w:p>
    <w:p>
      <w:r>
        <w:t>FR: TAF E-5870/2016 du 1 novembre 2016</w:t>
      </w:r>
    </w:p>
    <w:p>
      <w:r>
        <w:t>IT: TAF E-5870/2016 del 1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29 Abs. 2 BV haben die Parteien eines Verfahrens Anspruch auf rechtliches Gehör. Dieser Grundsatz wird in den Art. 29 ff. VwVG für das Verwaltungsverfahren konkretisiert. Er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(Art. 33 Abs. 1 VwVG). Sie muss die Vorbringen der Parteien tatsächlich hören, prüfen und in der Entscheidfindung berücksichtigen (Art. 32 VwVG). Die Begründung muss deshalb zumindest kurz die wesentlichen Überlegungen nennen, von denen sich die Behörde hat leiten lassen und auf die sie ihren Entscheid stützt. So ist es den Betroffenen nur möglich, eine Verfügung gegebenenfalls sachgerecht anzufechten, wenn sowohl sie wie auch die Rechtsmittelinstanz sich über die Tragweite des Entscheids ein Bild machen können. Dagegen wird nicht verlangt, dass sich die Begründung mit allen Parteistandpunkten einlässlich auseinandersetzt und jedes einzelne Vorbringen ausdrücklich widerlegt (vgl. BGE 137 II 266 E. 3.2; BGE 133 I 270 E. 3.1, je m.w.H.). Schliesslich beinhaltet der Anspruch auf rechtliches Gehör auch, dass die Behörden alles in den Akten festzuhalten haben, was zur Sache gehört und entscheidwesentlich sein kann. Daraus resultiert die Pflicht, dass sämtliche im Rahmen des Verfahrens vorgenommenen Erhebungen sowie erheblichen Tatsachen und Beweismittel vollständig festzuhalten respektive zu den Akten zu nehmen sind. Die Aktenführung hat geordnet, übersichtlich und vollständig zu sein und es muss ersichtlich sein, wer die Akten erstellt hat und wie sie zustande gekommen sind (vgl. BGE 130 II 473 E. 4; Kölz/Häner/Bertschi, Verwaltungsverfahren und Verwaltungsrechtspflege des Bundes, 3. Aufl., Zürich 2013, Rz. 497, m.w.H.).</w:t>
      </w:r>
    </w:p>
    <w:p>
      <w:r>
        <w:rPr>
          <w:b/>
        </w:rPr>
        <w:t>E. 3.2</w:t>
      </w:r>
    </w:p>
    <w:p>
      <w:r>
        <w:t>Das Verwaltungs- respektive Asylverfahren wird ferner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Krauskopf/Emmenegger/Babey, in: Praxiskommentar Verwaltungsverfahrensgesetz VwVG, Waldmann/Weissenberger (Hrsg.), 2. Aufl. 2016, Art. 12 VwVG N 19 ff.; Kölz/Häner/Bertschi, a.a.O., Rz. 1043 ff.).</w:t>
      </w:r>
    </w:p>
    <w:p>
      <w:r>
        <w:rPr>
          <w:b/>
        </w:rPr>
        <w:t>E. 4</w:t>
      </w:r>
    </w:p>
    <w:p>
      <w:r>
        <w:t>Der Beschwerdeführer legte im vorinstanzlichen Verfahren nicht nur eine Fotografie der ersten Seite seines Dienstbüchleins, sondern auch das Dienstbüchlein selbst, im Original, ins Recht (vgl. Bst. B). Wie der angefochtenen Verfügung zu entnehmen ist, wurde dieses Beweismittel vom SEM nicht berücksichtigt und mithin auch nicht gewürdigt, führte es in der Begründung seines Entscheids doch aus, dass der Beschwerdeführer das Original bezeichnenderweise nicht eingereicht habe (vgl. Bst. C). Dies erstaunt insofern nicht, als das SEM das Original des Dienstbüchleins auch nicht ins Beweismittelcouvert (A9) aufgenommen, sondern dieses einfach in den Umschlag des N-Dossiers gelegt und auch keine Übersetzung davon angefertigt hat (vgl. Bst. B). Demnach hat das SEM neben seiner Pflicht, angebotene, nicht unerhebliche Beweismittel abzunehmen und zu würdigen, auch seine Aktenführungspflicht und mithin zentrale Teilgehalte des Gehörsanspruchs des Beschwerdeführers verletzt. Zudem ist angesichts der dargelegten Umständen davon auszugehen, dass das SEM den Inhalt des Dienstbüchleins gar nicht zur Kenntnis genommen und mithin auch nicht in der Entscheidfindung berücksichtigt hat, weshalb es auch seine Begründungspflicht - ein weiterer wesentlicher Teilgehalt des rechtlichen Gehörs - sowie mangels vollständiger Abklärung des rechtserheblichen Sachverhaltes auch seine Untersuchungspflicht missachtet hat. In diesem Zusammenhang sei darauf hingewiesen, dass die pauschale Bemerkung des SEM in der angefochtenen Verfügung, der Beweiswert von militärischen Dokumenten sei aufgrund ihrer einfachen Fälschbarkeit und käuflichen Erwerbbarkeit gering, ohne nähere Prüfung des Dienstbüchleins nicht genügt, um dessen Echtheit zu entkräften.</w:t>
      </w:r>
    </w:p>
    <w:p>
      <w:r>
        <w:rPr>
          <w:b/>
        </w:rPr>
        <w:t>E. 5.1</w:t>
      </w:r>
    </w:p>
    <w:p>
      <w:r>
        <w:t>Gemäss Art. 61 Abs. 1 VwVG entscheidet das Bundesverwaltungsge­richt in der Sache selbst oder weist diese ausnahmsweise mit verbindli­chen Weisungen ans SEM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aber unter Umständen auch die Funktion zu, die Vorinstanz auf ihre verfahrensrechtlichen Pflichten aufmerksam zu machen (vgl. BVGE 2012/21 E. 5).</w:t>
      </w:r>
    </w:p>
    <w:p>
      <w:r>
        <w:rPr>
          <w:b/>
        </w:rPr>
        <w:t>E. 5.2</w:t>
      </w:r>
    </w:p>
    <w:p>
      <w:r>
        <w:t>Angesichts der formellen Natur des Anspruchs auf rechtliches Gehör und der Tatsache, dass die vorliegende Verletzung wesentlicher Teilgehalte dieses Anspruchs und die damit einhergehende Missachtung des Untersuchungsgrundsatzes schwer wiegen, erscheint eine Aufhebung der angefochtenen Verfügung und eine Rückweisung der Sache ans SEM gerechtfertigt. Das SEM wird angewiesen, das Original des Dienstbüchleins sorgfältig auf seine Echtheit zu überprüfen, dieses übersetzen zu lassen und ins Beweismittelcouvert in der Akte A9 aufzunehmen. Ferner wird es angewiesen, die Relevanz des Dienstbüchleins für das vorliegende Verfahren sorgfältig zu prüfen und - nach rechtsgenüglicher Gewährung des rechtlichen Gehörs an den Beschwerdeführer - seine diesbezüglichen Erkenntnisse in den neu zu fällenden Entscheid einfliessen zu lassen. Unabhängig davon hat das SEM - vor dem Hintergrund der auf Beschwerdeebene eingereichten Schnellrecherche der SFH vom 14. Juli 2015 und der angesichts der Situation in Syrien zweifelsohne erhöhten Rekrutierungstätigkeit des syrischen Regimes (vgl. Urteil des BVGer E-4268/2014 vom 18. Januar 2016 E. 4.3.1, m.w.H.) - detailliert zu erörtern, inwiefern das Dekret von Dezember 2011 betreffend die Regelung des Militärdienstes von eingebürgerten Kurden tatsächlich noch befolgt wird und wie hoch die Wahrscheinlichkeit ist, in der Heimatregion des Beschwerdeführers an einem Checkpoint der offiziellen Armee ohne Vorwarnung rekrutiert zu werden.</w:t>
      </w:r>
    </w:p>
    <w:p>
      <w:r>
        <w:rPr>
          <w:b/>
        </w:rPr>
        <w:t>E. 6</w:t>
      </w:r>
    </w:p>
    <w:p>
      <w:r>
        <w:t>Die Beschwerde ist demnach gutzuheissen. Die vorinstanzliche Verfügung vom 26. August 2016 ist aufzuheben und die Sache (samt Akten) im Sinne der Erwägungen ans SEM zurückzuweisen.</w:t>
      </w:r>
    </w:p>
    <w:p>
      <w:r>
        <w:rPr>
          <w:b/>
        </w:rPr>
        <w:t>E. 7</w:t>
      </w:r>
    </w:p>
    <w:p>
      <w:r>
        <w:t>Bei dieser Sachlage erübrigt sich eine Auseinandersetzung mit den weiteren Vorbringen in der Beschwerde.</w:t>
      </w:r>
    </w:p>
    <w:p>
      <w:r>
        <w:rPr>
          <w:b/>
        </w:rPr>
        <w:t>E. 8</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der Beschwerdeführer im Beschwerdeverfahren nicht vertreten war, ist nicht ersichtlich, welche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