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E-5870/2012 vom 13. Februar 2014</w:t>
      </w:r>
    </w:p>
    <w:p>
      <w:r>
        <w:t>Bundesverwaltungsgericht, 2014-02-13, DE</w:t>
      </w:r>
    </w:p>
    <w:p>
      <w:r>
        <w:rPr>
          <w:b/>
        </w:rPr>
        <w:t xml:space="preserve">Quelle: </w:t>
      </w:r>
      <w:r>
        <w:t>https://mcp.opencaselaw.ch/entscheid/bvger_E-5870_2012</w:t>
      </w:r>
    </w:p>
    <w:p>
      <w:r>
        <w:t>FR: TAF E-5870/2012 du 13 février 2014</w:t>
      </w:r>
    </w:p>
    <w:p>
      <w:r>
        <w:t>IT: TAF E-5870/2012 del 13 febbraio 2014</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VwVG, soweit das VGG oder das AsylG nichts anderes bestimmen (Art. 37 VGG; Art. 6 und 105 AsylG).</w:t>
      </w:r>
    </w:p>
    <w:p>
      <w:r>
        <w:rPr>
          <w:b/>
        </w:rPr>
        <w:t>E. 1.3</w:t>
      </w:r>
    </w:p>
    <w:p>
      <w:r>
        <w:t>Der Beschwerdeführer ist legitimiert (Art. 48 Abs. 1 VwVG) und seine Eingabe erweist sich als frist- und formgerecht (Art. 108 Abs. 1 AsylG; Art. 52 Abs. 1 VwVG), womit auf die Beschwerde einzutreten ist.</w:t>
      </w:r>
    </w:p>
    <w:p>
      <w:r>
        <w:rPr>
          <w:b/>
        </w:rPr>
        <w:t>E. 1.4</w:t>
      </w:r>
    </w:p>
    <w:p>
      <w:r>
        <w:t>Die Beschwerde ist im Verfahren einzelrichterlicher Zuständigkeit mit Zustimmung eines zweiten Richters oder einer zweiten Richterin zu behandeln, da sie sich - wie nachfolgend aufgezeigt - im Ergebnis als offensichtlich begründet erweist (Art. 111 Bst. e AsylG). 2.1 Im Rahmen der Beschwerdeeingabe wird unter anderem geltend gemacht, vom BFM sei der rechtserhebliche Sachverhalt unrichtig und unvollständig festgestellt worden. Ungeachtet der auf Beschwerdeebene neu vorgebrachten Aspekte und Beweismittel, die aufgrund nachfolgender Erwägungen im vorliegenden Verfahren nicht näher zu prüfen sind, erweist sich die Rüge einer unvollständigen Sachverhaltsfeststellung im Urteilszeitpunkt - aus nachfolgend aufgezeigten Gründen - ohnehin als berechtigt. 2.2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hat die Vorinstanz in Aussicht gestellt, die beiden Vorfälle und eine allfällige Veränderung der allgemeinen Situation und insbesondere die Lage der Rückkehrenden in Sri Lanka vertieft abzuklären. Die Vorinstanz geht damit selbst davon aus, dass der Sachverhalt, wie er der Verfügung vom 11. Oktober 2012 zugrunde liegt, zumindest unter den neu eingetretenen Umständen offensichtlich nicht vollständig festgestellt ist. Denn es besteht kein Zweifel, dass eine neue Lagebeurteilung vor Ort sich auf die konkrete Feststellung des rechtserheblichen Sachverhalts auswirken kann, sei es im Flüchtlings- und Asylpunkt, sei es im Wegweisungsvollzugspunkt. 2.3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2.4 Die Beschwerde ist nach dem Gesagten gutzuheissen.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Auf die weiteren Vorbringen in der Beschwerdeeingabe ist damit aufgrund der vorliegenden Kassation nicht näher einzugehen.</w:t>
      </w:r>
    </w:p>
    <w:p>
      <w:r>
        <w:rPr>
          <w:b/>
        </w:rPr>
        <w:t>E. 3.1</w:t>
      </w:r>
    </w:p>
    <w:p>
      <w:r>
        <w:t>Bei diesem Ausgang des Verfahrens sind keine Kosten zu erheben (Art. 63 Abs. 1-3 VwVG), womit der mit Zwischenverfügung vom 16. November 2012 anberaumte Vorbehalt einer nachträglichen Veränderung der finanziellen Verhältnisse des Beschwerdeführers bezüglich das Gesuch um unentgeltliche Prozessführung gegenstandslos geworden ist.</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Abs. 1 des Reglements vom 21. Februar 2008 über die Kosten und Entschädigungen vor dem Bundesverwaltungsgericht [VGKE, SR 173.320.2]). Aufgrund der Aktenlage sowie unter Berücksichtigung der massgebenden Bemessungsfaktoren (Art. 9-13 VGKE) ist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