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E-586/2010 vom 31. März 2010</w:t>
      </w:r>
    </w:p>
    <w:p>
      <w:r>
        <w:t>Bundesverwaltungsgericht, 2010-03-31, FR</w:t>
      </w:r>
    </w:p>
    <w:p>
      <w:r>
        <w:rPr>
          <w:b/>
        </w:rPr>
        <w:t xml:space="preserve">Quelle: </w:t>
      </w:r>
      <w:r>
        <w:t>https://mcp.opencaselaw.ch/entscheid/bvger_E-586_2010</w:t>
      </w:r>
    </w:p>
    <w:p>
      <w:r>
        <w:t>FR: TAF E-586/2010 du 31 mars 2010</w:t>
      </w:r>
    </w:p>
    <w:p>
      <w:r>
        <w:t>IT: TAF E-586/2010 del 31 marzo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(art.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loi fédérale sur la procédure administrative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n° 2003 n° 17 consid. 2, p. 103-104).</w:t>
      </w:r>
    </w:p>
    <w:p>
      <w:r>
        <w:rPr>
          <w:b/>
        </w:rPr>
        <w:t>E. 3.1</w:t>
      </w:r>
    </w:p>
    <w:p>
      <w:r>
        <w:t>En l'espèce, produisant des éléments de preuve, le recourant remet en cause le refus de l'asile, ainsi que l'exécution du renvoi. La question à résoudre est donc de déterminer si ces éléments sont en l'occurrence nouveaux, et, dans l'affirmative, s'ils peuvent mener à une appréciation différente de celle effectuée en procédure ordinaire.</w:t>
      </w:r>
    </w:p>
    <w:p>
      <w:r>
        <w:rPr>
          <w:b/>
        </w:rPr>
        <w:t>E. 3.2</w:t>
      </w:r>
    </w:p>
    <w:p>
      <w:r>
        <w:t>De manière générale, le caractère nouveau des documents déposés peut être exclu, aucun d'entre eux ne faisant état de points inédits. En effet, l'attestation du Centre kurde des droits de l'homme a été manifestement élaborée à la requête de l'intéressé, et ne fait que citer ses propres allégations ; il y apparaît ainsi qu'une éventuelle appartenance du recourant au PYD ne ressort que de ses propres dires. On voit d'ailleurs mal comment une association installée à Genève pourrait valablement attester d'une telle affiliation. Les deux attestations du PYD, produites en procédure de recours, ont également été émises en Europe ; il est donc clair que, n'étant pas en mesure de confirmer d'éventuelles activités militantes du recourant en Syrie, la section européenne de ce parti n'a pu se fonder que sur les dires de l'intéressé lui-même ; on peut d'ailleurs relever qu'aucune de ces deux attestations ne contient de détails concrets susceptibles d'être vérifiés, mais qu'elles se bornent à énoncer des généralités. Les pièces en cause ne sont donc pas de nature à établir que l'intéressé a milité en Syrie au sein de PYD, assertion dont l'invraisemblance avait d'ailleurs été retenue par le Tribunal dans son arrêt du 15 décembre 2009, eu égard avant tout au fait que le recourant avait caché avoir quitté son pays régulièrement. On doit également constater que la première attestation, vu sa date, aurait pu être produite en procédure ordinaire. S'agissant des activités politiques que A._______ aurait entretenues en Suisse, le même arrêt a admis qu'au vu de leur mesure restreinte, elles n'étaient pas pertinentes (cf. consid. 3.1.3). Les documents en cause, quand bien même ils les confirmeraient, ne changent rien à ce constat.</w:t>
      </w:r>
    </w:p>
    <w:p>
      <w:r>
        <w:rPr>
          <w:b/>
        </w:rPr>
        <w:t>E. 3.3</w:t>
      </w:r>
    </w:p>
    <w:p>
      <w:r>
        <w:t>Enfin, les autres pièces produites par l'intéressé (attestation du centre culturel kurde, rapport de Human Rights Watch et du comité syrien des droits de l'homme) ne le concernent pas personnellement et sont donc sans pertinence dans la résolution du cas d'espèce.</w:t>
      </w:r>
    </w:p>
    <w:p>
      <w:r>
        <w:rPr>
          <w:b/>
        </w:rPr>
        <w:t>E. 3.4</w:t>
      </w:r>
    </w:p>
    <w:p>
      <w:r>
        <w:t>Le reproche fait à l'ODM de n'avoir pas correctement apprécié les éléments basant la demande de réexamen n'est donc pas fondé. Il s'ensuit que le recours, en tant qu'il vise au réexamen de la décision du 23 avril 2009, doit être rejeté.</w:t>
      </w:r>
    </w:p>
    <w:p>
      <w:r>
        <w:rPr>
          <w:b/>
        </w:rPr>
        <w:t>E. 4</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w:t>
      </w:r>
    </w:p>
    <w:p>
      <w:r>
        <w:t>Vu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