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E-5855/2014 vom 28. Januar 2015</w:t>
      </w:r>
    </w:p>
    <w:p>
      <w:r>
        <w:t>Bundesverwaltungsgericht, 2015-01-28, DE</w:t>
      </w:r>
    </w:p>
    <w:p>
      <w:r>
        <w:rPr>
          <w:b/>
        </w:rPr>
        <w:t xml:space="preserve">Quelle: </w:t>
      </w:r>
      <w:r>
        <w:t>https://mcp.opencaselaw.ch/entscheid/bvger_E-5855_2014</w:t>
      </w:r>
    </w:p>
    <w:p>
      <w:r>
        <w:t>FR: TAF E-5855/2014 du 28 janvier 2015</w:t>
      </w:r>
    </w:p>
    <w:p>
      <w:r>
        <w:t>IT: TAF E-5855/2014 del 28 gennaio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worden ist.</w:t>
      </w:r>
    </w:p>
    <w:p>
      <w:r>
        <w:rPr>
          <w:b/>
        </w:rPr>
        <w:t>E. 2</w:t>
      </w:r>
    </w:p>
    <w:p>
      <w:r>
        <w:t>Die Verfügung des BFM vom 3. September 2014 wird aufgehoben. Die Akten werden zur korrekten und vollständigen Feststellung des Sachverhalts und zum neuen Entscheid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dem Beschwerdeführer für das Verfahren vor dem Bundesverwaltungsgericht eine Parteientschädigung von Fr. 1'200.- auszurichten.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