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E-5850/2016 vom 5. Oktober 2016</w:t>
      </w:r>
    </w:p>
    <w:p>
      <w:r>
        <w:t>Bundesverwaltungsgericht, 2016-10-05, DE</w:t>
      </w:r>
    </w:p>
    <w:p>
      <w:r>
        <w:rPr>
          <w:b/>
        </w:rPr>
        <w:t xml:space="preserve">Quelle: </w:t>
      </w:r>
      <w:r>
        <w:t>https://mcp.opencaselaw.ch/entscheid/bvger_E-5850_2016</w:t>
      </w:r>
    </w:p>
    <w:p>
      <w:r>
        <w:t>FR: TAF E-5850/2016 du 5 octobre 2016</w:t>
      </w:r>
    </w:p>
    <w:p>
      <w:r>
        <w:t>IT: TAF E-5850/2016 del 5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3.3</w:t>
      </w:r>
    </w:p>
    <w:p>
      <w:r>
        <w:t>Die Vorinstanz begründet ihre Verfügung im Asylpunkt damit, aufgrund der widersprüchlichen und unsubstantiierten Angaben des Beschwerdeführers sei nicht glaubhaft, dass nach seiner Inhaftierung vom 29. April 2014 bis zum 2. Mai 2014 öffentlich nach ihm gefahndet worden sei. Dass der Beschwerdeführer womöglich inhaftiert worden sei, sei nicht asylrelevant, weil es sich dabei nach seinen Angaben um eine Masseninhaftierung, und nicht um eine gezielt gegen ihn gerichtete Verfolgungsmassnahme gehandelt habe. Auch die Inhaftierung im Jahr 2005 sei aufgrund des mangelnden zeitlichen und sachlichen Kausalzusammenhangs zur Flucht nicht asylrelevant.</w:t>
      </w:r>
    </w:p>
    <w:p>
      <w:r>
        <w:rPr>
          <w:b/>
        </w:rPr>
        <w:t>E. 3.4</w:t>
      </w:r>
    </w:p>
    <w:p>
      <w:r>
        <w:t>In der Eingabe vom 22. September 2016 macht der Beschwerdeführer geltend, er werde als Angehöriger der Volksgruppe der Oromo von der Regierung unterdrückt; die Ländereien der Oromo würden an reiche Investoren verkauft und die Bauern seien in ihrer Existenz bedroht. Deshalb habe er sich an den Demonstrationen beteiligt. Seines Erachtens bestünden genügend Hinweise darauf, dass er die aufgeführten Ereignisse selbst erlebt habe.</w:t>
      </w:r>
    </w:p>
    <w:p>
      <w:r>
        <w:rPr>
          <w:b/>
        </w:rPr>
        <w:t>E. 3.5</w:t>
      </w:r>
    </w:p>
    <w:p>
      <w:r>
        <w:t>Die Ausführungen des Beschwerdeführers im vorliegenden Verfahren sind offensichtlich nicht geeignet, die fundierten Ausführungen der Vorinstanz in Frage zu stellen. Auch das Bundesverwaltungsgericht geht nach Prüfung der Akten davon aus, dass die Inhaftierungen des Beschwerdeführers im Jahr 2005 und im Jahr 2014 nicht asylrelevant sind. Diesbezüglich kann auf die zutreffende Begründung der Vorinstanz verwiesen werden. Wie die Vorinstanz kommt das Bundesverwaltungsgericht weiter zum Schluss, dass seine Darstellung der behördlichen Fahndung nach ihm nicht glaubhaft ist. Tatsächlich sind seine Schilderungen von massiven Widersprüchen durchsetzt: So machte er in der BzP geltend, nach der viertägigen Haft sei er nach der Aufnahme seiner Personalien freigelassen worden und habe seine Arbeit wieder aufgenommen (vgl. Akten des Asylverfahrens, A12/12, F 7.01 und 7.02). Erst nachdem er erfahren habe, dass ein Freund festgenommen worden sei, sei er nach C._______ geflüchtet (a.a.O.). In der Bundesanhörung behauptet er hingegen, er sei nach vier Tagen bewusstlos ins Spital eingeliefert worden und sei von dort direkt nach C._______ geflüchtet (vgl. Akten des Asylverfahrens, A32/20, F 71). Undurchsichtig sind auch seine Angaben zum eigentlichen Fluchtmotiv: Einmal sagt er, er habe bereits während der viertägigen Inhaftierung beschlossen, das Land zu verlassen (vgl. Akten des Asylverfahrens, A32/20, F 60), ein andermal, er habe den Fluchtentschluss erst gefasst, als er erfahren habe, dass er öffentlich zur Verhaftung ausgeschrieben worden sei (vgl. Akten des Asylverfahrens, A12/12, F 7.02). Auch unabhängig von diesen Widersprüchen erscheinen die Erzählungen des Beschwerdeführers konstruiert. So ist wenig glaubhaft, dass die äthiopischen Behörden ihn ohne Aufsicht ins Spital bringen sollten (vgl. Akten des Asylverfahrens, A32/20, F 63), nur um ihn wenige Tage später zur Festnahme auszuschreiben. Aus den Akten ergeben sich überdies keinerlei Hinweise, dass die äthiopischen Behörden ein besonderes Interesse am Beschwerdeführer entwickelt haben könnten, zumal er nie in einer politischen Partei tätig gewesen ist, und sich - abgesehen von gelegentlichen Teilnahmen an Demonstrationen mit einer Vielzahl von Teilnehmern - auch nie politisch betätigt hat. Schliesslich wäre zu erwarten, dass er eine öffentliche Haftausschreibung auf die eine oder andere Weise zumindest dokumentarisch belegen könnte, was nicht der Fall ist.</w:t>
      </w:r>
    </w:p>
    <w:p>
      <w:r>
        <w:rPr>
          <w:b/>
        </w:rPr>
        <w:t>E. 3.6</w:t>
      </w:r>
    </w:p>
    <w:p>
      <w:r>
        <w:t>Zusammengefasst ergibt sich, dass die Vorinstanz die Flüchtlingseigenschaft des Beschwerdeführers zu Recht verneint und dessen Asylgesuch folgerichtig abgelehnt hat.</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5.5</w:t>
      </w:r>
    </w:p>
    <w:p>
      <w:r>
        <w:t>Was die allgemeine Lage in Äthiopien anbelangt, ist festzustellen, dass dort weder Krieg, Bürgerkrieg noch eine Situation allgemeiner Gewalt herrscht, weshalb der Wegweisungsvollzug diesbezüglich als zumutbar zu bezeichnen ist.</w:t>
      </w:r>
    </w:p>
    <w:p>
      <w:r>
        <w:rPr>
          <w:b/>
        </w:rPr>
        <w:t>E. 5.6</w:t>
      </w:r>
    </w:p>
    <w:p>
      <w:r>
        <w:t>Darüber hinaus sind keine Hinweise ersichtlich, dass der Beschwer-deführer im Heimatland aus individuellen Gründen einer konkreten Ge-fährdung im Sinne von Art. 83 Abs. 4 AuG ausgesetzt sein könnte. Dem Beschwerdeführer werden seine Schulbildung und die Berufserfahrung als langjähriger und erfolgreich tätiger Lastwagenchauffeur in Äthiopien (vgl. Akten des Asylverfahrens, A12/12, F 1.17.04; A32/20, F 36-44) beim Aufbau einer neuen Existenz von Nutzen sein. In Anbetracht dessen, dass sich verschiedene Familienangehörige in Äthiopien aufhalten (gl. Akten des Asylverfahrens, A12/12, F 3.01), darf von einem tragfähigen Beziehungsnetz ausgegangen werden, welches ihm bei der Wiedereingliederung behilflich sein kann. Der Vollzug der Wegweisung erweist sich somit auch unter Berücksichtigung der persönlichen Umstände als zumutbar. Nach dem Gesagten erweist sich der Vollzug der Wegweisung als zumutbar.</w:t>
      </w:r>
    </w:p>
    <w:p>
      <w:r>
        <w:rPr>
          <w:b/>
        </w:rPr>
        <w:t>E. 5.7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5.8</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(Art. 65 Abs. 1 VwVG). Aus den vorstehenden Erwägungen ergibt sich, dass seine Begehren als aussichtslos zu gelten haben. Damit ist eine der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w:t>
      </w:r>
    </w:p>
    <w:p>
      <w:r>
        <w:rPr>
          <w:b/>
        </w:rPr>
        <w:t>E. 7.3</w:t>
      </w:r>
    </w:p>
    <w:p>
      <w:r>
        <w:t>Der Antrag auf Verzicht auf die Erhebung eines Kostenvorschusses ist mit dem vorliegenden Entscheid gegenstandslos geworden.</w:t>
      </w:r>
    </w:p>
    <w:p>
      <w:r>
        <w:rPr>
          <w:b/>
        </w:rPr>
        <w:t>E. 7.4</w:t>
      </w:r>
    </w:p>
    <w:p>
      <w:r>
        <w:t>Die Gesuche um Wiederherstellung der aufschiebenden Wirkung und um Anweisung der zuständigen Behörden, die Kontaktaufnahme mit den Behörden des Heimat- oder Herkunftsstaates sowie jegliche Datenweitergabe an dieselben zu unterlassen, sind infolge des direkten Entscheides in der Hauptsache gegenstandslos geworden, zumal vorsorgliche Massnahmen durch das Bundesverwaltungsgericht als solche nur für die Dauer des Beschwerdeverfahrens Wirkung entfalten können. Aufgrund der Akten ist im Übrigen nicht von einer Datenweitergabe auszugehen.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