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E-584/2024 vom 1. Februar 2024</w:t>
      </w:r>
    </w:p>
    <w:p>
      <w:r>
        <w:t>Bundesverwaltungsgericht, 2024-02-01, FR</w:t>
      </w:r>
    </w:p>
    <w:p>
      <w:r>
        <w:rPr>
          <w:b/>
        </w:rPr>
        <w:t xml:space="preserve">Quelle: </w:t>
      </w:r>
      <w:r>
        <w:t>https://mcp.opencaselaw.ch/entscheid/bvger_E-584_2024</w:t>
      </w:r>
    </w:p>
    <w:p>
      <w:r>
        <w:t>FR: TAF E-584/2024 du 1 février 2024</w:t>
      </w:r>
    </w:p>
    <w:p>
      <w:r>
        <w:t>IT: TAF E-584/2024 del 1 febbraio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prescrits par la loi (art. 108 al. 3 LAsi),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4.4</w:t>
      </w:r>
    </w:p>
    <w:p>
      <w:r>
        <w:t>L'Etat responsable en vertu du règlement Dublin III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exposé précédemment (cf. let. B. et E.a), les investigations entreprises par le SEM dans le système européen « Eurodac » ont révélé que A._______ avait déposé une demande d'asile en Croatie en date du 29 novembre 2023. Fort de cette information, le SEM a soumis aux autorités croates compétentes, dans le délai fixé à l'art. 23 par. 2 du règlement Dublin III, une requête aux fins de reprise en charge fondée sur l'art. 18 al. 1 let. b de ce règlement. Dans le délai prévu par l'art. 25 par. 1 du règlement Dublin III, lesdites autorités ont expressément accepté la demande de reprise en charge du recourant fondée sur la disposition concernée, précisant qu'elles allaient poursuivre le processus de détermination de leur responsabilité, conformément à l'art. 20 par. 5 dudit règlement. La portée de cette dernière disposition a fait l'objet de nombreux arrêts du Tribunal (cf. notamment arrêts E-1325/2023 du 13 avril 2023 consid. 5.3 ; E-5831/2022 du 30 mars 2023 consid. 4.3.1 ; D-5838/2022 du 9 janvier 2023 consid. 4.3 ; E-5459/2022 du 15 décembre 2022 consid. 4.2.1 ; E-3771/2022 du 2 novembre 2022 consid. 4.3.1 et 4.3.2 ; E-4855/2022 du 31 octobre 2022 consid. 4.3.1 et 4.3.2 ; E-3704/2022 du 27 octobre 2022 consid. 4.4.4 ; E-4648/2022 du 25 octobre 2022 consid. 5.3.1 et 5.3.2 ; F-4002/2022 du 26 septembre 2022 consid. 6.1 ; F-4079/2022 du 23 septembre 2022 consid. 4) et son application ne pose pas de problème particulier en l'espèce.</w:t>
      </w:r>
    </w:p>
    <w:p>
      <w:r>
        <w:rPr>
          <w:b/>
        </w:rPr>
        <w:t>E. 5.2</w:t>
      </w:r>
    </w:p>
    <w:p>
      <w:r>
        <w:t>En conséquence, la responsabilité de la Croatie pour le traitement de la demande d'asile du recourant est acquise, l'art. 16 du règlement Dublin III ne trouvant pas application dans le cas présent, comme l'autorité intimée l'a relevé à juste titre (cf. décision querellée, p. 4 i.f.). Dans son recours, l'intéressé ne conteste du reste pas cette compétence sur le principe, mais s'oppose à son transfert vers cet Etat pour d'autres motifs, qui seront examinés ci-après.</w:t>
      </w:r>
    </w:p>
    <w:p>
      <w:r>
        <w:rPr>
          <w:b/>
        </w:rPr>
        <w:t>E. 6.1</w:t>
      </w:r>
    </w:p>
    <w:p>
      <w:r>
        <w:t>En vertu de l'art. 3 par. 2 du règlement Dublin III, il y a lieu d'examiner s'il n'y a pas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6.2</w:t>
      </w:r>
    </w:p>
    <w:p>
      <w:r>
        <w:t>A ce propos, il convient de rappeler que ce pays est lié à ladite Charte et est partie à la Convention du 28 juillet 1951 relative au statut des réfugiés (Conv. réfugiés ; RS 0.142.30) ainsi qu'au Protocole additionnel du 31 janvier 1967 (Prot. ; RS 0.142.301), à la CEDH (RS 0.101) et à la Conv. torture (RS 0.105) et, à ce titre, en applique les dispositions.</w:t>
      </w:r>
    </w:p>
    <w:p>
      <w:r>
        <w:rPr>
          <w:b/>
        </w:rPr>
        <w:t>E. 6.3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 juin 2013 ; ci-après : directive Procédure), comme de la directive no 2013/33/UE du Parlement européen et du Conseil du 29 juin 2013 établissant des normes pour l'accueil des personnes demandant la protection internationale (refonte ; JO L 180/96 du 29 juin 2013 ; ci-après : directive Accueil ; cf. arrêt du Tribunal D-589/2021 du 16 février 2021 consid. 7.4.1 et jurisp. cit.).</w:t>
      </w:r>
    </w:p>
    <w:p>
      <w:r>
        <w:rPr>
          <w:b/>
        </w:rPr>
        <w:t>E. 6.4</w:t>
      </w:r>
    </w:p>
    <w:p>
      <w:r>
        <w:t>Cette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6.5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rPr>
          <w:b/>
        </w:rPr>
        <w:t>E. 6.6</w:t>
      </w:r>
    </w:p>
    <w:p>
      <w:r>
        <w:t>Compte tenu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al. 2 du règlement Dublin III ne se justifie pas.</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 il peut également admettre cette responsabilité pour des raisons humanitaires au sens de l'art. 29a al. 3 de l'ordonnance 1 du 11 août 1999 sur l'asile relative à la procédure (OA 1, RS 142.311 ; cf. ATAF 2017 VI/7 consid. 4.3 ; 2017 VI/5 consid. 8.5.2 in fine).</w:t>
      </w:r>
    </w:p>
    <w:p>
      <w:r>
        <w:rPr>
          <w:b/>
        </w:rPr>
        <w:t>E. 7.2</w:t>
      </w:r>
    </w:p>
    <w:p>
      <w:r>
        <w:t>Dans son arrêt de référence précité (cf. consid. 6.5), le Tribunal a confirmé la pratique établie depuis l'arrêt de référence D-1611/2016 du 22 mars 2016 concernant la licéité des transferts vers la Croatie, précisant qu'il ne fallait renoncer à un transfert que dans des cas exceptionnels (cf. arrêt de référence E-1488/2020 du 22 mars 2023 consid. 9.5).</w:t>
      </w:r>
    </w:p>
    <w:p>
      <w:r>
        <w:rPr>
          <w:b/>
        </w:rPr>
        <w:t>E. 7.3</w:t>
      </w:r>
    </w:p>
    <w:p>
      <w:r>
        <w:t>Dans son recours, A._______ a en substance indiqué craindre l'hostilité de la population et des autorités croates en raison de son homosexualité.</w:t>
      </w:r>
    </w:p>
    <w:p>
      <w:r>
        <w:rPr>
          <w:b/>
        </w:rPr>
        <w:t>E. 7.3.1</w:t>
      </w:r>
    </w:p>
    <w:p>
      <w:r>
        <w:t>En l'espèce, il n'existe pas d'indices permettant de retenir que dans le cas concret le transfert du recourant vers la Croatie serait illicite. En effet, au regard de ce qui précède, il y a lieu de partir du principe que les requérants d'asile transférés en Croatie sur la base du règlement Dublin III ont accès à la procédure d'asile dans ce pays, et ce, indépendamment qu'il s'agisse d'un cas de prise ou de reprise en charge. Il ne ressort en outre du dossier aucun indice concret permettant de penser que les autorités croates pourraient faillir à leurs obligations internationales en renvoyant le recourant dans un pays où sa vie, son intégrité corporelle ou sa liberté serait sérieusement menacée ou, encore, d'où il risquerait d'être astreint à se rendre dans un tel pays.</w:t>
      </w:r>
    </w:p>
    <w:p>
      <w:r>
        <w:rPr>
          <w:b/>
        </w:rPr>
        <w:t>E. 7.3.2</w:t>
      </w:r>
    </w:p>
    <w:p>
      <w:r>
        <w:t>La crainte exprimée par le recourant en rapport avec la réaction des autorités croates lorsqu'elles apprendront son homosexualité dans le cadre de la procédure d'asile ne repose sur aucun élément tangible et est par conséquent infondée. A l'appui de son allégation, il s'est d'ailleurs borné à évoquer, sans plus de précision, des cas de violences dont il aurait eu connaissance et qui auraient affecté des amis, également homosexuels, en Croatie. En outre, de jurisprudence constante, le Tribunal considère que l'homosexualité - de même que l'appartenance à « la communauté LGBTQ+ » - ne saurait être un motif faisant obstacle au transfert d'un requérant d'asile en Croatie dans le cadre de l'application du règlement Dublin III (cf. arrêts du Tribunal D-1398/2023 du 27 juin 2023 consid. 9.7 ; F-3211/2023 du 8 juin 2023 consid. 5.2 ; F-1900/2023 du 18 avril 2023 consid. 5.3.2 et jurisp. cit.).</w:t>
      </w:r>
    </w:p>
    <w:p>
      <w:r>
        <w:rPr>
          <w:b/>
        </w:rPr>
        <w:t>E. 7.4</w:t>
      </w:r>
    </w:p>
    <w:p>
      <w:r>
        <w:t>Il convient de rappeler que la Croatie est liée par la directive Accueil (cf. consid. 6.3). Partant, si, contre toute attente, le recourant devait estimer, après son transfert, que la Croatie violerait ses obligations d'assistance à ses égard ou porterait atteinte d'une autre manière à ses droits fondamentaux, il lui appartiendrait de faire valoir ses droits (respectivement de se plaindre d'éventuels comportements incorrects de la part de représentants des autorités) directement auprès des instances compétentes de ce pays, en usant des voies de droit adéquates (art. 26 par. 1 de la directive Accueil), au besoin en sollicitant préalablement l'aide d'une des oeuvres d'entraide présentes dans le pays.</w:t>
      </w:r>
    </w:p>
    <w:p>
      <w:r>
        <w:rPr>
          <w:b/>
        </w:rPr>
        <w:t>E. 7.5</w:t>
      </w:r>
    </w:p>
    <w:p>
      <w:r>
        <w:t>Par conséquent, le transfert du recourant vers cet Etat n'est pas contraire aux obligations découlant de dispositions conventionnelles auxquelles la Suisse est liée.</w:t>
      </w:r>
    </w:p>
    <w:p>
      <w:r>
        <w:rPr>
          <w:b/>
        </w:rPr>
        <w:t>E. 7.6</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7.6 et 8.2.2 ; 2011/9 consid. 4.1 ; arrêt du Tribunal E-641/2014 du 13 mars 2015 consid. 5.3 [non publié dans ATAF 2015/9]), nonobstant la préférence marquée par le recourant de voir sa demande d'asile examinée par la Suisse. Il est rappelé à cet égard que le règlement Dublin III ne lui confère pas le droit de choisir l'Etat membre offrant, à leur avis, les meilleures conditions d'accueil comme Etat responsable de l'examen de sa demande d'asile (cf. ATAF 2017 VI/5 consid. 8.2.1).</w:t>
      </w:r>
    </w:p>
    <w:p>
      <w:r>
        <w:rPr>
          <w:b/>
        </w:rPr>
        <w:t>E. 7.7</w:t>
      </w:r>
    </w:p>
    <w:p>
      <w:r>
        <w:t>Pour le surplus, il est renvoyé aux considérants de la décision attaquée, dès lors que ceux-ci sont suffisamment explicites et motivés et que le recours ne contient aucun autre élément susceptible d'en remettre en cause le bien-fondé (art. 109 al. 3 LTF, par renvoi de l'art. 4 PA).</w:t>
      </w:r>
    </w:p>
    <w:p>
      <w:r>
        <w:rPr>
          <w:b/>
        </w:rPr>
        <w:t>E. 7.8</w:t>
      </w:r>
    </w:p>
    <w:p>
      <w:r>
        <w:t>Au regard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8.1</w:t>
      </w:r>
    </w:p>
    <w:p>
      <w:r>
        <w:t>Compte tenu de ce qui précède,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Par conséquent, le recours doit être rejeté et la décision attaquée confirmée.</w:t>
      </w:r>
    </w:p>
    <w:p>
      <w:r>
        <w:rPr>
          <w:b/>
        </w:rPr>
        <w:t>E. 8.2</w:t>
      </w:r>
    </w:p>
    <w:p>
      <w:r>
        <w:t>S'avérant manifestement infondé, celui-ci l'est dans une procédure à juge unique, avec l'approbation d'un second juge (art. 111 let. e LAsi). Il est dès lors renoncé à un échange d'écritures, le présent arrêt n'étant motivé que sommairement (art. 111a al. 1 et 2 LAsi).</w:t>
      </w:r>
    </w:p>
    <w:p>
      <w:r>
        <w:rPr>
          <w:b/>
        </w:rPr>
        <w:t>E. 9</w:t>
      </w:r>
    </w:p>
    <w:p>
      <w:r>
        <w:t>Les demandes d'effet suspensif et de dispense d'avance des frais de procédure sont devenues sans objet avec le présent prononcé ; les mesures superprovisionnelles ordonnées en date du 29 janvier 2024 sont désormais caduques.</w:t>
      </w:r>
    </w:p>
    <w:p>
      <w:r>
        <w:rPr>
          <w:b/>
        </w:rPr>
        <w:t>E. 10</w:t>
      </w:r>
    </w:p>
    <w:p>
      <w:r>
        <w:t>La demande d'assistance judiciaire « totale » doit être rejetée, les conclusions du recours paraissant d'emblée vouées à l'échec (art. 102m al. 1 LAsi en lien avec art. 65 al. 1 PA), de sorte qu'il y a lieu de mettre les frais de procédure à la charge de l'intéressé,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