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E-5849/2006 vom 12. August 2008</w:t>
      </w:r>
    </w:p>
    <w:p>
      <w:r>
        <w:t>Bundesverwaltungsgericht, 2008-08-12, DE</w:t>
      </w:r>
    </w:p>
    <w:p>
      <w:r>
        <w:rPr>
          <w:b/>
        </w:rPr>
        <w:t xml:space="preserve">Quelle: </w:t>
      </w:r>
      <w:r>
        <w:t>https://mcp.opencaselaw.ch/entscheid/bvger_E-5849_2006</w:t>
      </w:r>
    </w:p>
    <w:p>
      <w:r>
        <w:t>FR: TAF E-5849/2006 du 12 août 2008</w:t>
      </w:r>
    </w:p>
    <w:p>
      <w:r>
        <w:t>IT: TAF E-5849/2006 del 12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und 50 ff. VwVG). Auf die Beschwerde ist einzutreten.</w:t>
      </w:r>
    </w:p>
    <w:p>
      <w:r>
        <w:rPr>
          <w:b/>
        </w:rPr>
        <w:t>E. 1.4</w:t>
      </w:r>
    </w:p>
    <w:p>
      <w:r>
        <w:t>Die Rechtsbegehren, es sei die aufschiebende Wirkung der Beschwerde wiederherzustellen und es sei die Undurchführbarkeit einer vorsorglichen Wegweisung in einen Drittstaat festzustellen, sind mangels entsprechender gegenteiliger Anordnungen in der angefochtenen Verfügung gegenstandslos.</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würdigte die Vorbringen der Beschwerdeführenden, der Beschwerdeführer sei aus politischen Gründen von 1997 bis 1999 während knapp 3 Jahren ohne Anklage in Haft gewesen, die Beschwerdeführerin sei während dieser Zeit von einem unbekannten Mann vergewaltigt worden, und nach seiner Entlassung sei der Beschwerdeführer von den Behörden gewarnt worden, erneut politisch tätig zu werden, wegen ungenügenden zeitlichen und sachlichen Kausalzusammenhangs zur Ausreise als nicht asylrelevant. Das Gericht teilt hier die Ansicht der Vorinstanz, da diese Ereignisse bei der Ausreise mehrere Jahre zurücklagen, und der Beschwerdeführer selbst zu Protokoll gab, dass er nach seiner Entlassung aus dem Gefängnis noch zwei Mal von der Polizei vorgeladen worden sei, danach wegen seiner politischen Ambitionen aber keinerlei Probleme mehr gehabt habe (vgl. A 5, S. 10). Auch die Beschwerdeführerin gab an, dass ihr nach der erwähnten Vergewaltigung nichts mehr passiert sei (vgl. A 6, S. 9). Seinen Angaben zufolge hat der Beschwerdeführer im Jahre 2002 oder 2003 im Ausland (in Prag) gearbeitet, kehrte dann aber nach Bulgarien zurück (vgl. A 1, S. 5; A 5, S. 6); auch dies spricht gegen eine weiterhin andauernde Gefährdung. Somit kann davon ausgegangen werden, dass die Beschwerdeführenden zum jetzigen Zeitpunkt keine asylrelevante Verfolgung durch staatliche Organe aufgrund der politischen Tätigkeiten des Beschwerdeführers zu befürchten haben. Ausserdem hat sich der Beschwerdeführer in Bulgarien einen neuen Reisepass und eine neue Identitätskarte ausstellen lassen, was zusätzlich dafür spricht, dass er in seinem Heimatstaat von den Behörden nicht mehr gesucht und verfolgt wird.</w:t>
      </w:r>
    </w:p>
    <w:p>
      <w:r>
        <w:rPr>
          <w:b/>
        </w:rPr>
        <w:t>E. 4.2</w:t>
      </w:r>
    </w:p>
    <w:p>
      <w:r>
        <w:t>Weiter machten die Beschwerdeführenden insbesondere geltend, dass sie in den letzten Jahren immer häufigeren Diskriminierungen ausgesetzt gewesen seien, welche seit dem Wahlerfolg der Ataka-Partei im Jahre 2005 noch zugenommen hätten, und dass es für die Roma somit immer schwieriger werde, in Bulgarien zu leben. Hierzu stellt das Gericht fest, dass die Glaubhaftigkeit der Vorbringen der Beschwerdeführenden im Grundsatz nicht angezweifelt wird. Auch in den vorliegenden Länderberichten zur Lage in Bulgarien wird übereinstimmend erwähnt, dass ethnische Minderheiten wie die Roma in Bulgarien teilweise diskriminiert werden, ihre Schulbildung und ihr allgemeiner Lebenstandard schlechter ist als bei der bulgarischen Mehrheit, und dass Berichte von gewaltsamen Übergriffen seitens der Polizei und von rechtsnationalen Kreisen - vorab aus dem Umfeld der auch von den Beschwerdeführenden erwähnten Ataka-Partei - bekannt sind. Hingegen kann nicht von einer flächendeckenden, staatlich organisierten Verfolgung und Diskriminierung gegenüber den Roma gesprochen werden. Vorab seit dem Beitritt Bulgariens zur Europäischen Union (EU) im Jahre 2007 ist Bulgarien - auch auf Druck der EU - bestrebt, die Situation der Roma im eigenen Land zu verbessern. So wurde etwa ein nationaler Plan zur Bekämpfung von Diskriminierungen verabschiedet, und durch finanzielle Unterstützung seitens der EU konnten die Lebensbedingungen in verschiedenen Roma-Quartieren verbessert werden (vgl. Amnesty International Report 2008 zu Bulgarien; Balkan Investigative Reporting Network, Bericht vom 17. Juli 2007; U.S Department of State, Country Reports on Human Rights Practices - 2007 zu Bulgarien). Als Mitglied der EU darf Bulgarien zudem als funktionierender Rechtsstaat angesehen werden, der willens und fähig ist, rechtsgerichtete Übergriffe, etwa seitens der Anhänger der Ataka-Partei, auf Minderheiten zu verfolgen und zu ahnden. Die Beschwerdeführenden haben zwar die Übergriffe jeweils bei der Polizei gemeldet, es jedoch unterlassen sich bei einer höheren Polizeiinstanz zu melden (vgl. A 5, S. 11). Es darf den Beschwerdeführenden zugemutet werden, bei entsprechenden Übergriffen die staatlich vorhandenen Polizei- und Justizorgane zur entsprechenden Hilfeleistung vollumfänglich auszuschöpfen. Auch bezüglich der angeblich drohenden Zwangsversteigerung ihres Hauses haben die Beschwerdeführenden die Möglichkeit, sämtliche Rechtsmittel auszuschöpfen und so ihre Rechte wahrzunehmen.</w:t>
      </w:r>
    </w:p>
    <w:p>
      <w:r>
        <w:rPr>
          <w:b/>
        </w:rPr>
        <w:t>E. 4.3</w:t>
      </w:r>
    </w:p>
    <w:p>
      <w:r>
        <w:t>Die Vorbringen der Beschwerdeführenden in ihrer Beschwerde vom 13. Mai 2006 sind nicht geeignet, eine andere Sicht der Dinge herbeizuführen. Die Beschwerde wiederholt einzig und allein die bereits gemachten Aussagen in der Anhörung und bringt keine neuen Vorbringen zum Tragen. Die eingereichten Beweismittel untermauern, wie das BFM in seiner Vernehmlassung zutreffend ausführt, Sachverhalte ohne flüchtlingsrechtliche Relevanz. Auch die Stellungnahme vom 14. April 2008 zum neu ausgestellten Pass des Beschwerdeführers vermag nicht zu überzeugen. Einerseits erscheint es fragwürdig, dass in einem EU-Staat ein entsprechender Pass einer Drittperson ausgehändigt worden sein soll, und anderseits kann der Beschwerdeführer keine überzeugenden Argumente liefern, warum sein Pass zwei Eintragungen in kyrillischer Schrift enthält. Es muss daher davon ausgegangen werden, dass sich der Beschwerdeführer in Bulgarien aufgehalten hat, was ein starkes Indiz dafür ist, dass die Situation in Bulgarien für die Beschwerdeführenden nicht so prekär sein kann, wie in der Beschwerde erwähnt, da sich ein wirklich Verfolgter nicht freiwillig zurück in den Verfolgerstaat begibt.</w:t>
      </w:r>
    </w:p>
    <w:p>
      <w:r>
        <w:rPr>
          <w:b/>
        </w:rPr>
        <w:t>E. 4.4</w:t>
      </w:r>
    </w:p>
    <w:p>
      <w:r>
        <w:t>Zusammenfassend kann daher festgehalten werden, dass die Vorbringen der Beschwerdeführenden nicht asylrelevant im Sinne von Art. 3 AsylG sind. Die Vorinstanz hat daher zu Recht die Flüchtlingseigenschaft der Beschwerdeführenden verneint und ihr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Bulgarien ist demnach unter dem Aspekt von Art. 5 AsylG rechtmässig. Sodann ergeben sich weder aus den Aussagen der Beschwerdeführenden noch aus den Akten Anhaltspunkte dafür, dass sie für den Fall einer Ausschaffung nach Bulgarien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Wie bereits erwähnt, droht den Beschwerdeführenden keine Verfolgung mehr durch die bulgarischen Behörden, und mögliche Probleme und Auseinandersetzungen mit rechtsnationalen Anhängern reichen in ihrer Intensität nicht aus, um unter Art. 3 EMRK oder Art. 1 FoK subsumiert zu werden. Auch die allgemeine Menschenrechtssituation in Bulgarien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Bulgarien herrscht zur Zeit weder Krieg, Bürgerkrieg noch liegt eine Situation allgemeiner Gewalt vor. Bulgarien ist seit dem 1. Januar 2007 Mitglied der Europäischen Union und wurde vom Bundesrat in die Liste der sogenannten "safe countries" aufgenommen. Zwar sind, wie unter E. 4.2 erwähnt, gewisse Repressionen gegenüber Minderheiten in Bulgarien vorhanden, jedoch nicht in einem Ausmass, dass eine entsprechende Rückkehr unzumutbar wäre. Es sind auch keine individuellen Gründe ersichtlich, welche gegen die Zumutbarkeit einer Rückkehr nach Bulgarien sprechen würden. Bei den Beschwerdeführenden handelt es sich um ein (...) jähriges, gesundes Ehepaar, welches praktisch sein gesamtes Leben in Bulgarien verbracht hat. Zudem leben die beiden Kinder und die Mutter des Beschwerdeführers in Bulgarien, welche immer noch über ein Haus in (...) verfügt. Die Beschwerdeführenden waren beide in verschiedensten Berufen tätig und sollten sich somit auch beruflich wieder integrieren können. Zusammenfassend kann gesagt werden, dass den Beschwerdeführenden sowohl die soziale als auch die wirtschaftliche Reintegration gelingen sollte. Nach dem Gesagten erweist sich der Vollzug der Wegweisung somit auch als zumutbar.</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und 5 VwVG). Die Beschwerdeführenden sind jedoch gemäss Akten als bedürftig anzusehen und ihre am 13. Mai 2006 eingereichte Beschwerde war zu jenem Zeitpunkt nicht als aussichtslos zu betrachten, weshalb den Beschwerdeführenden nun nachträglich die unentgeltliche Rechtspflege bewilligt wird, welche sie mit ihrer Beschwerde beantragt haben. Somit werden folglich keine Verfahrenskosten erhoben. Das Gesuch um Bestellung eines amtlichen Rechtsbeistandes gemäss Art. 65 Abs. 2 VwVG ist demgegenüber mangels sachlicher Notwendigkeit abzuweisen, nachdem sich im vorliegenden Verfahren weder übermässig komplexe Sachverhaltsfragen noch komplizierte Rechtsfragen gestellt haben, die den Beizug eines Rechtsvertreters als erforderlich hätten erscheinen 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