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E-5845/2022 vom 22. Mai 2023</w:t>
      </w:r>
    </w:p>
    <w:p>
      <w:r>
        <w:t>Bundesverwaltungsgericht, 2023-05-22, DE</w:t>
      </w:r>
    </w:p>
    <w:p>
      <w:r>
        <w:rPr>
          <w:b/>
        </w:rPr>
        <w:t xml:space="preserve">Quelle: </w:t>
      </w:r>
      <w:r>
        <w:t>https://mcp.opencaselaw.ch/entscheid/bvger_E-5845_2022</w:t>
      </w:r>
    </w:p>
    <w:p>
      <w:r>
        <w:t>FR: TAF E-5845/2022 du 22 mai 2023</w:t>
      </w:r>
    </w:p>
    <w:p>
      <w:r>
        <w:t>IT: TAF E-5845/2022 del 22 maggio 2023</w:t>
      </w:r>
    </w:p>
    <w:p>
      <w:pPr>
        <w:pStyle w:val="Heading2"/>
      </w:pPr>
      <w:r>
        <w:t>Regeste</w:t>
      </w:r>
    </w:p>
    <w:p>
      <w:r>
        <w:t>Asyl und Wegweisung</w:t>
      </w:r>
    </w:p>
    <w:p>
      <w:pPr>
        <w:pStyle w:val="Heading2"/>
      </w:pPr>
      <w:r>
        <w:t>Erwägungen</w:t>
      </w:r>
    </w:p>
    <w:p>
      <w:r>
        <w:rPr>
          <w:b/>
        </w:rPr>
        <w:t>E. 1.1</w:t>
      </w:r>
    </w:p>
    <w:p>
      <w:r>
        <w:t>Gemäss Art. 31 VGG beurteilt das Bundesverwaltungsgericht Beschwer- den gegen Verfügungen nach Art. 5 VwVG. Das SEM gehört zu den Be- hörden nach Art. 33 VGG und ist daher eine Vorinstanz des Bundesverwal- tungsgerichts. Eine das Sachgebiet betreffende Ausnahme im Sinne von Art. 32 VGG liegt nicht vor. Das Bundesverwaltungsgericht ist daher zu- ständig für die Beurteilung der vorliegenden Beschwerde und entscheidet auf dem Gebiet des Asyls endgültig, ausser bei Vorliegen eines Ausliefe- 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E-5845/2022 Seite 6</w:t>
      </w:r>
    </w:p>
    <w:p>
      <w:r>
        <w:rPr>
          <w:b/>
        </w:rPr>
        <w:t>E. 1.3</w:t>
      </w:r>
    </w:p>
    <w:p>
      <w:r>
        <w:t>Die Beschwerde ist frist- und formgerecht eingereicht worden. Die Beschwerdeführerinnen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Aufl. 2013, Rz. 1043).</w:t>
      </w:r>
    </w:p>
    <w:p>
      <w:r>
        <w:rPr>
          <w:b/>
        </w:rPr>
        <w:t>E. 3.1</w:t>
      </w:r>
    </w:p>
    <w:p>
      <w:r>
        <w:t>In der Beschwerde wird subeventualiter die Rückweisung der Sache an die Vorinstanz beantragt. Die Beschwerdeführerinnen führen dazu aus, die Vorinstanz habe den Untersuchungsgrundsatz verletzt, indem sie nur mit einem Satz auf die Schutzfähigkeit der UNP eingegangen sei und ohne Quellenangaben angeführt habe, Menschenrechtsorganisationen seien sich grundsätzlich einig, dass die UNP in vielen Fällen ihren Zweck erfülle. Diese formelle Rüge ist vorab zu prüfen, da sie unter Umständen geeignet sein könnte, eine Kassation der erstinstanzlichen Verfügung zu bewirken (vgl. BVGE 2013/34 E. 4.2).</w:t>
      </w:r>
    </w:p>
    <w:p>
      <w:r>
        <w:rPr>
          <w:b/>
        </w:rPr>
        <w:t>E. 3.2</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w:t>
      </w:r>
    </w:p>
    <w:p>
      <w:r>
        <w:rPr>
          <w:b/>
        </w:rPr>
        <w:t>E. 3.3</w:t>
      </w:r>
    </w:p>
    <w:p>
      <w:r>
        <w:t>Die Vorinstanz hat sich offensichtlich in der angefochtenen Verfügung unter Ziffer II Nr. 1 auf Seite 7 ausführlich und hinlänglich mit dem Schutz- willen und der Schutzfähigkeit der UNP respektive des kolumbianischen Staats auseinandergesetzt. Weitere Ausführungen erübrigen sich zu dieser Rüge, das Kassationsbegehren ist abzuweisen.</w:t>
      </w:r>
    </w:p>
    <w:p>
      <w:r>
        <w:t>E-5845/2022 Seite 7</w:t>
      </w:r>
    </w:p>
    <w:p>
      <w:r>
        <w:rPr>
          <w:b/>
        </w:rPr>
        <w:t>E. 3.4</w:t>
      </w:r>
    </w:p>
    <w:p>
      <w:r>
        <w:t>Soweit die Beschwerdeführerin die Übersetzung von im vorinstanzli- chen Verfahren eingereichten Beweismitteln beantragt, ist festzuhalten, dass die Vorinstanz die rechtserheblichen Beweismittel übersetzt hat und dementsprechend keine weiteren Übersetzungen von vorinstanzlichen Ak- ten vorzunehmen sind.</w:t>
      </w:r>
    </w:p>
    <w:p>
      <w:r>
        <w:rPr>
          <w:b/>
        </w:rPr>
        <w:t>E. 3.5</w:t>
      </w:r>
    </w:p>
    <w:p>
      <w:r>
        <w:t>Der Antrag auf Rückweisung des Verfahrens an die Vorinstanz ist da- her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des ablehnenden Asylentscheids führte das SEM in der angefochtenen Verfügung aus, die Beschwerdeführerin habe erklärt, nie direkt, sondern immer über Drittpersonen (Todes-)Drohungen von FARC-Dissidenten erhalten zu haben. Weiter sei davon auszugehen, dass sich der Einbruch Ende 2020 im Hauptquartier der COALICO nicht gegen eine bestimmte Person, sondern generell gegen diese Organisation gerich- tet habe. Ferner sei ihre Privatadresse nie veröffentlicht worden. Aufgrund der Ausführungen der Beschwerdeführerin, sie sei die letzten sieben Mo- nate vor ihrer Ausreise über ihren ehemaligen Arbeitskollegen bedroht wor- den und es hätten fremde Personen vor ihrer Haustüre teilweise einige Stunden gewartet, könne nicht gefolgert werden, dass es sich dabei tat- sächlich um FARC-Dissidenten gehandelt habe, welche sie angeblich</w:t>
      </w:r>
    </w:p>
    <w:p>
      <w:r>
        <w:t>E-5845/2022 Seite 8 bedroht oder verfolgt hätten. Zudem sei der kolumbianische Staat schutz- willig und schutzfähig. Lediglich aufgrund ihrer Landesabwesenheit seien zurzeit logischerweise keine Schutzmassnahmen eingeleitet worden. Die von der Beschwerdeführerin geäusserte Furcht vor Verfolgung könne nicht als ausreichend begründet betrachtet werden, da keine konkreten Verfol- gungen stattgefunden hätten und die angeblich mündlich geäusserten To- desdrohungen über einen Arbeitskollegen auch nicht hätten verifiziert wer- den können. Das von der Beschwerdeführerin geltend gemachte Verfol- gungsinteresse seitens vermeintlicher FARC-Dissidenten oder eine allfäl- lige Gefahr ausgehend von der kolumbianischen Regierung könne nicht als genügend intensiv oder asylbeachtlich eingestuft werden. Es sei auch anzunehmen, dass die UNP gemäss Beschluss vom (…) trotz ihrer Kündi- gung bei der COALICO ihr weiterhin Schutz gewährleisten werde. Ferner sei der Grund ihrer Kündigung nicht nachvollziehbar. Wenn sie diese damit begründe, dass sie zu ihrem eigenen Schutz und zum Schutz der Opfer gekündigt habe, damit sie nicht mehr im Fokus ihrer vermeintlichen Verfol- ger stehe, sei wiederum nicht ersichtlich, weshalb sie in Zukunft eine be- gründete Furcht vor asylbeachtlicher Verfolgung haben müsste. Schliess- lich sei festzuhalten, dass grundsätzlich von einem vorhandenen Schutz- willen und der Schutzfähigkeit des kolumbianischen Staates auszugehen sei.</w:t>
      </w:r>
    </w:p>
    <w:p>
      <w:r>
        <w:rPr>
          <w:b/>
        </w:rPr>
        <w:t>E. 5.2</w:t>
      </w:r>
    </w:p>
    <w:p>
      <w:r>
        <w:t>Die Beschwerdeführerin hält dem in ihrer Beschwerde entgegen, zwar sei sie nie direkt am eigenen Leib, sondern stets über Drittpersonen Todes- drohungen von FARC-Dissidenten ausgesetzt gewesen, es könne aber nicht ohne Weiteres davon ausgegangen werden, dass die Todesdrohun- gen durch Drittpersonen als asylrechtlich irrelevant zu qualifizieren seien. Die Drohungen müssten zwingend im Rahmen ihres kulturellen, politischen und soziologischen Kontexts betrachtet werden. So stellten am Friedens- prozess beteiligte Menschenrechtsaktivisten eine besonders vulnerable Gruppe dar, da sie durch ihre Arbeit die Aufmerksamkeit der FARC-Dissi- denten auf sich ziehen und von diesen verfolgt, bedroht und im schlimms- ten Fall getötet würden. Dass Todesdrohungen durch Drittpersonen vermit- telt würden, sei einer der modus operandi der FARC-Dissidenten. Die Tat- sache, dass die Drohungen über Drittpersonen und nicht direkt an die Ziel- person vermittelt würden, ändere nichts an der Gefährdungslage der davon betroffenen Personen. Auch sei üblich, dass die Zielpersonen während ei- ner längeren Zeitspanne verfolgt und beobachtet würden, bevor sie von den Tätern getötet würden. Sie habe immer wieder dieselben Motorräder vor ihrem Haus gesichtet und beobachtet, wie die Personen ihr Haus ge- filmt oder fotografiert hätten. Sie sei eine (…) in Kolumbien und landesweit</w:t>
      </w:r>
    </w:p>
    <w:p>
      <w:r>
        <w:t>E-5845/2022 Seite 9 bekannt für ihre Tätigkeit (…). Es sei logisch nachvollziehbar und überzeu- gend, dass es sich bei den Personen vor ihrem Haus um FARC-Dissiden- ten gehandelt haben müsse. Diese Schlussfolgerung beruhe nicht auf rei- nen Vermutungen, sondern stütze sich auf konkrete Tatsachen und Indi- zien. Zudem genüge es, Vorbringen im Asylverfahren glaubhaft zu ma- chen. Somit dürfe auch im vorliegenden Fall nicht auf einem konkreten Nachweis beharrt werden. Ferner habe die UNP angesichts der vielen An- träge nicht genügend Ressourcen, was dazu führe, dass die Mehrheit der Anträge abgelehnt werde. Bei denjenigen Personen, denen Schutzmass- nahmen gewährt würden, würden sich diese oftmals als ungenügend er- weisen und die Personen trotzdem getötet werden. Gesetzlich werde der UNP 30 Tage gewährt, um die Risikoanalysen der Antragsteller durchzu- führen. Die UNP habe aber selber gestanden, dass in der Praxis die durch- schnittliche Dauer im Mai 2020 160 Tage und im Dezember 2020 100 Tage über der gesetzlich vorgeschriebenen Dauer gelegen habe. Auch das BVGer habe die langsame und ineffiziente Umsetzung von Schutzmass- nahmen ohne Berücksichtigung der konkreten Gefährdungslage der Be- troffenen bemängelt (vgl. Urteile des BVGer E-3683/2019 vom 7. August 2019 E. 5.4.3, E-3745/2019 vom 7. August 2019 E. 7.4.3). Von einem wirk- samen Rechts- und Justizsystem zur strafrechtlichen Verfolgung in Kolum- bien könne in diesem Fall nicht ausgegangen werden. Trotz der konkreten Vorkommnisse – Einbruch am Hauptsitz der COALICO, Öffentlichkeit der Gerichtsverhandlungen, (…), und vermehrtes Auftauchen derselben Per- sonen auf Motorrädern vor dem Haus der Beschwerdeführerin – habe die UNP keine neue Risikoanalyse veranlasst. Auch ihre Strafanzeige bei der Staatsanwaltschaft aufgrund ihrer verschärften Gefährdungslage sei ins Leere gelaufen. Ferner habe auch die UNO-Abteilung «ACNUR» die UNP nicht dazu veranlassen können, eine Risikoanalyse vorzunehmen. Die UNP habe erst am 30. Juni 2021 einen Abschreibungsentscheid erlassen, welcher lediglich vermerkt habe, dass sie nicht mehr in Kolumbien wohn- haft sei und sich die Risikoanalyse und Erteilung von Schutzmassnahmen damit erübrige. Damit habe sie es unterlassen, eine Risikoanalyse durch- zuführen. Sie selbst sei dazu gezwungen worden, Eigeninitiative zu ergrei- fen und persönliche Massnahmen zu treffen, wie das Verlassen des Hau- ses mit maskiertem Gesicht, Isolation und Vermeidung jeglicher Routinen und Kontakte zu Personen aus ihrem Umfeld. Dies zeige eindeutig, dass die UNP und der kolumbianische Staat als Ganzes in ihrem Falle nicht schutzfähig und -willig sei. Der Anmerkung der Vorinstanz, es habe keine Vorkommnisse mehr gegeben und habe daher keine Schutzmassnahmen benötigt, sei zu entgegnen, dass ihre Sicherheit lediglich aufgrund eigens veranlasster Schutzmassnahmen garantiert worden sei. Da sich die FARC-</w:t>
      </w:r>
    </w:p>
    <w:p>
      <w:r>
        <w:t>E-5845/2022 Seite 10 Dissidenten in der Vergangenheit mehrmals vor ihrem Haus aufgehalten hätten, habe sie die Nähe der Fenster in ihrem Haus meiden müssen und möglichst selten das Haus verlassen können. Die UNP sei ferner während eines Jahres untätig geblieben und habe nach ihrer Ausreise aus Kolum- bien den Antrag auf Schutz abgeschrieben. Aus diesem Vorgehen könne eindeutig nicht geschlossen werden, dass ihr weiterhin Schutz gewährleis- tet würde. Auch handle es sich bei der Furcht vor Verfolgung – entgegen der Ansicht der Vorinstanz – nicht um eine rein subjektiv, sondern eindeutig um eine objektiv begründete Furcht.</w:t>
      </w:r>
    </w:p>
    <w:p>
      <w:r>
        <w:rPr>
          <w:b/>
        </w:rPr>
        <w:t>E. 5.3</w:t>
      </w:r>
    </w:p>
    <w:p>
      <w:r>
        <w:t>In ihrer Vernehmlassung hält die Vorinstanz fest, die Beschwerdefüh- rerin habe einen Entscheid vom (…) 2021 zu den Akten gegeben, in wel- chem eine vorzeitige Beendigung beziehungsweise Einstellung eines Dis- ziplinarverfahrens gegen sie verfügt worden sei. Es sei jedoch nicht ersicht- lich, inwieweit damit nachgewiesen werden könne, dass sie durch die Mit- glieder der FARC in asylbeachtlichem Ausmass verfolgt worden sei. Auch die weiteren auf Beschwerdeebene eingereichten Schreiben würden dies- bezüglich nicht überzeugen.</w:t>
      </w:r>
    </w:p>
    <w:p>
      <w:r>
        <w:rPr>
          <w:b/>
        </w:rPr>
        <w:t>E. 5.4</w:t>
      </w:r>
    </w:p>
    <w:p>
      <w:r>
        <w:t>Die Beschwerdeführerin führt in ihrer Replik aus, indem die FARC Dis- ziplinarverfahren gegen Menschenrechtsverteidiger einleite, versuche sie, diese einzuschüchtern und an ihrer Arbeit zu hindern. Dies sei eine weitere gängige Belästigungsmethode der FARC. Aus den eingereichten Schrei- ben sei sodann ersichtlich, dass sowohl die Organisation L._______, als auch die COALICO das Risiko für die Beschwerdeführerin als hoch ein- schätzten und sich für einen besseren Schutz ihrer Person einzusetzen versuchten.</w:t>
      </w:r>
    </w:p>
    <w:p>
      <w:r>
        <w:rPr>
          <w:b/>
        </w:rPr>
        <w:t>E. 6.1</w:t>
      </w:r>
    </w:p>
    <w:p>
      <w:r>
        <w:t>Vorliegend macht die Beschwerdeführerin geltend, sie habe über Dritt- personen erfahren, dass FARC-Dissidenten sie mit dem Tode bedrohten. Diesbezüglich sei der kolumbianische Staat weder schutzfähig noch schutzwillig.</w:t>
      </w:r>
    </w:p>
    <w:p>
      <w:r>
        <w:rPr>
          <w:b/>
        </w:rPr>
        <w:t>E. 6.2</w:t>
      </w:r>
    </w:p>
    <w:p>
      <w:r>
        <w:t>Eine Verfolgung durch nichtstaatliche Akteure (in casu der FARC-Dis- sidenten) setzt voraus, dass es der betroffenen Person nicht möglich ist, im Heimatstaat adäquaten Schutz zu finden. Nach der sogenannten Schutztheorie (vgl. EMARK 2006/18) ist nichtstaatliche Verfolgung flücht- lingsrechtlich nur dann relevant, wenn der Staat unfähig oder nicht willens ist, Schutz vor einer solchen Verfolgung zu bieten. Eine Garantie für lang- fristigen individuellen Schutz der von nichtstaatlicher Verfolgung bedrohten</w:t>
      </w:r>
    </w:p>
    <w:p>
      <w:r>
        <w:t>E-5845/2022 Seite 11 Person kann dabei nicht verlangt werden. So kann es keinem Staat gelin- gen, jederzeit und überall die absolute Sicherheit seiner Bürgerinnen und Bürger zu gewährleisten. Hingegen muss der Staat eine funktionierende und effiziente Schutzinfrastruktur zur Verfügung stellen, also in erster Linie polizeiliche Aufgaben wahrnehmende Organe und ein Rechts- und Jus- tizsystem, das eine effektive Strafverfolgung ermöglicht. Ob das beste- hende Schutzsystem als in diesem Sinne effizient erachtet werden kann, hängt letztlich auch davon ab, dass der Schutz die von Verfolgung be- troffene Person tatsächlich erreicht. Zudem muss die Inanspruchnahme des Schutzsystems der betroffenen Person objektiv zugänglich und indivi- duell zumutbar sein, was jeweils im Rahmen einer Einzelfallprüfung unter Berücksichtigung des länderspezifischen Kontextes zu beurteilen ist (vgl. BVGE 2011/51 E. 7.3 f. m.w.H. sowie die Urteile des BVGer D-5307/2020 vom 7. Dezember 2020 E. 7.2; E-4446/2018 vom 29. August 2018 E. 6.2.1).</w:t>
      </w:r>
    </w:p>
    <w:p>
      <w:r>
        <w:rPr>
          <w:b/>
        </w:rPr>
        <w:t>E. 6.3</w:t>
      </w:r>
    </w:p>
    <w:p>
      <w:r>
        <w:t>Das Bundesverwaltungsgericht geht in seiner Rechtsprechung grund- sätzlich von der Schutzfähigkeit und dem Schutzwillen der kolumbiani- schen Strafverfolgungs- und Justizbehörden aus (vgl. etwa Urteile des BVGer D-2760/2022 vom 16. März 2023 E. 6.5.1; D-4959/2022 und D- 4941/2022 vom 29. November 2022; D-1026/2022 und D-1023/2022 vom 5. April 2022 E. 6.3.4; D-1633/2021 vom 25. Mai 2021 E. 7.1.3). Es ist des- halb zu prüfen, ob die Beschwerdeführerinnen im konkreten Einzelfall in Kolumbien tatsächlichen und adäquaten Schutz vor Verfolgung finden kön- nen.</w:t>
      </w:r>
    </w:p>
    <w:p>
      <w:r>
        <w:rPr>
          <w:b/>
        </w:rPr>
        <w:t>E. 6.4</w:t>
      </w:r>
    </w:p>
    <w:p>
      <w:r>
        <w:t>Aus den Befragungen geht hervor, dass die UNP in ihren Risikoein- schätzungen zum Schluss gelangte, das Risiko beziehungsweise die Le- bensgefahr betreffend die Beschwerdeführerin sei «aussergewöhnlich» gewesen, weshalb ihr anfänglich für die Gewährleistung ihrer persönlichen Sicherheit (…) zur Verfügung gestellt worden seien (vgl. SEM-act. 20/13 F37 und 46/20 F53). Bei einer Neubeurteilung ihres Risikos sei die UNP Ende (…) zum Schluss gekommen, dass das Risiko zwar gleich geblieben sei, (…) aber nicht mehr zur Verfügung gestellt werden würden. Der Be- schluss zur Reduktion der Sicherheitsmassnahmen sei in ihrer Kündigung bei der CPDH begründet gewesen (vgl. SEM-act. 46/20 F62). Auf Berufung hin sei ihr aber (…) zur Verfügung gestellt worden (vgl. SEM-act. 46/20 F54). Die Sicherheitsmassnahmen seien bei ihrer Ausreise noch in Kraft gewesen (vgl. SEM-act. 46/20 F69).</w:t>
      </w:r>
    </w:p>
    <w:p>
      <w:r>
        <w:t>E-5845/2022 Seite 12</w:t>
      </w:r>
    </w:p>
    <w:p>
      <w:r>
        <w:rPr>
          <w:b/>
        </w:rPr>
        <w:t>E. 6.5</w:t>
      </w:r>
    </w:p>
    <w:p>
      <w:r>
        <w:t>Aus dem Gesagten geht hervor, dass der kolumbianische Staat res- pektive die UNP Sicherheitsmassnahmen die Beschwerdeführerin betref- fend angeordnet hat. Es ist somit auch im konkreten Einzelfall grundsätz- lich von der Schutzfähigkeit und vom Schutzwillen der kolumbianischen Behörden auszugehen. Dass die Beschwerdeführerin gegen den Ent- scheid, die Sicherheitsmassnahmen abzuschwächen, mit ihrer Berufung zumindest einen Teilerfolg erzielen und damit auf (…) zurückgreifen konnte, zeigt ferner auf, dass ein effektives Beschreiten des Rechtswegs gegen entsprechende Entscheide der UNP möglich ist. Es stünde der Be- schwerdeführerin diesbezüglich frei, den Rechtsweg erneut zu beschrei- ten, falls sie – wie vorliegend anzunehmen ist – mit der Ausgestaltung der Sicherheitsmassnahmen nicht einverstanden wäre. Solche sind denn auch nach ihren eigenen Aussagen bei ihrer Ausreise noch aktiv gewesen. Im Beschluss der UNP vom 17. Juni 2022 wird die Beendigung der Schutz- massnahmen mit der Ausreise der Beschwerdeführerin begründet (vgl. SEM-act. 44/6 und 49/3), was darauf schliessen lässt, dass ihr bei ihrer Rückreise wieder Sicherheitsmassnahmen zu Verfügung gestellt würden. Diesbezüglich ist es, entgegen der in der Beschwerde vertretenen Mei- nung, unerheblich, ob es sich beim Beschluss um einen formellen oder materiellen Entscheid handelt. Insgesamt ist im vorliegenden Einzelfall da- von auszugehen, dass die Beschwerdeführerin in ihrem Heimatstaat hin- reichenden Schutz durch heimatliche Sicherheitskräfte im Sinne der Schutztheorie (vgl. E. 6.2 supra) erhalten hat beziehungsweise, dass ihr auch nach ihrer Rückkehr solcher zugänglich sein wird. An dieser Einschät- zung ändern auch die mit der Beschwerde eingereichten Schreiben (Beila- gen 4 bis 6) nichts. Damit ist kein subsidiärer Schutz der Schweiz nötig.</w:t>
      </w:r>
    </w:p>
    <w:p>
      <w:r>
        <w:rPr>
          <w:b/>
        </w:rPr>
        <w:t>E. 6.6</w:t>
      </w:r>
    </w:p>
    <w:p>
      <w:r>
        <w:t>Nach dem Gesagten hat das SEM zu Recht die Flüchtlingseigenschaft der Beschwerdeführerinnen verneint und ihre Asylgesuche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Beschwerdeführerinnen verfügen insbesondere weder über eine ausländerrechtliche Aufenthaltsbewilligung noch über einen Anspruch auf Erteilung einer solchen. Die Wegweisung wurde demnach ebenfalls zu Recht angeordnet (vgl. BVGE 2013/37 E. 4.4; 2009/50 E. 9, je m.w.H.).</w:t>
      </w:r>
    </w:p>
    <w:p>
      <w:r>
        <w:t>E-5845/2022 Seite 13</w:t>
      </w:r>
    </w:p>
    <w:p>
      <w:r>
        <w:rPr>
          <w:b/>
        </w:rPr>
        <w:t>E. 8.1.1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8.1.2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Bei allfälligen Behelligungen und Nachstellungen durch Drittpersonen können sich die Beschwerdefüh- rerinnen sodann an die staatlichen Behörden wenden (vgl. E. 6 supra).</w:t>
      </w:r>
    </w:p>
    <w:p>
      <w:r>
        <w:rPr>
          <w:b/>
        </w:rPr>
        <w:t>E. 8.2.2</w:t>
      </w:r>
    </w:p>
    <w:p>
      <w:r>
        <w:t>Die Vorinstanz wies in ihrer angefochtenen Verfügung zutreffend da- rauf hin, dass das Prinzip des flüchtlingsrechtlichen Non-Refoulement nur Personen schützt, die die Flüchtlingseigenschaft erfüllen. Da es den Beschwerdeführerinnen nicht gelungen ist, eine asylrechtlich erhebliche Gefährdung nachzuweisen oder glaubhaft zu machen, kann der in Art. 5 AsylG verankerte Grundsatz der Nichtrückschiebung im vorliegenden Ver- fahren keine Anwendung finden. Eine Rückkehr der Beschwerde-</w:t>
      </w:r>
    </w:p>
    <w:p>
      <w:r>
        <w:t>E-5845/2022 Seite 14 führerinnen in den Heimatstaat ist demnach unter dem Aspekt von Art. 5 AsylG rechtmässig. Sodann ergeben sich weder aus den Aussagen der Beschwerde- führerinnen noch aus den Akten Anhaltspunkte dafür, dass sie für den Fall einer Ausschaffung in den Heimatstaat dort mit beachtlicher Wahrschein- lichkeit einer nach Art. 3 EMRK oder Art. 1 FoK verbotenen Strafe oder Be- handlung ausgesetzt wären. Gemäss der Praxis des Europäischen Ge- richtshofes für Menschenrechte (EGMR) sowie jener des UN-Anti-Folter- ausschusses müssten die Beschwerdeführerinnen eine konkrete Gefahr («real risk») nachweisen oder glaubhaft machen, dass ihnen im Fall einer Rückschiebung Folter oder unmenschliche Behandlung drohen würde (vgl. Urteil des EGMR Saadi gegen Italien vom 28. Februar 2008, Grosse Kam- mer 37201/06, §§ 124–127 m.w.H.). Auch die allgemeine Menschenrechts- situation in Kolumbien lässt den Wegweisungsvollzug zum heutigen Zeit- punkt nicht als unzulässig erscheinen (vgl. Urteile des BVGer D-2760/2022 vom 16. März 2023 E. 8.3; D-5437/2022 vom 21. Dezember 2022 E. 9.2.2; D-4959/2022 vom 29. November 2022).</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Kolumbien herrscht weder Krieg oder Bürgerkrieg noch eine Situ- ation allgemeiner Gewalt, aufgrund derer eine Rückkehr generell unzumut- bar wäre (vgl. hierzu die Urteile des BVGer D-2760/2022 vom 16. März 2023 E. 8.4.1; D-908/2021 vom 11. Oktober 2021 E. 7.4.2 m.w.H; D-4959/2022 vom 29. November 2022; D-4941/2022 vom 29. November 2022; D-5435/2022 vom 21. Dezember 2022 E. 9.3.1).</w:t>
      </w:r>
    </w:p>
    <w:p>
      <w:r>
        <w:rPr>
          <w:b/>
        </w:rPr>
        <w:t>E. 8.3.3</w:t>
      </w:r>
    </w:p>
    <w:p>
      <w:r>
        <w:t>Auch in individueller Hinsicht sind keine Gründe ersichtlich, welche den Vollzug der Wegweisung als unzumutbar erscheinen liessen. Den An- gaben der Beschwerdeführerin zufolge habe sie gemeinsam mit ihrer Toch- ter zuletzt in C._______ gelebt, wo sie (…) tätig gewesen sei (vgl. SEM- act. 20/13 F22). Die Beschwerdeführerin verfügt nach dem Gesagten über eine sehr gute Ausbildung und über langjährige Berufserfahrung und es kann davon ausgegangen werden, dass ihr der berufliche Wiedereinstieg</w:t>
      </w:r>
    </w:p>
    <w:p>
      <w:r>
        <w:t>E-5845/2022 Seite 15 und die wirtschaftliche Reintegration gelingen wird. Es wird ihr somit mög- lich sein, in C._______ oder in einem anderen Landesteil von Kolumbien, allenfalls unter erneutem Schutz des kolumbianischen Staates, privat wie auch beruflich wieder Fuss fassen zu können.</w:t>
      </w:r>
    </w:p>
    <w:p>
      <w:r>
        <w:rPr>
          <w:b/>
        </w:rPr>
        <w:t>E. 8.3.4</w:t>
      </w:r>
    </w:p>
    <w:p>
      <w:r>
        <w:t>Die Beschwerdeführerin leidet eigenen Angaben gemäss an (…) und sei vor ihrer Ausreise von einer medizinischen Organisation unterstützt und von Psychologen betreut worden (vgl. SEM-act. 20/13 F7). Ihre Tochter leide ebenfalls an (…) (vgl. SEM-act. 20/13 F8). Die geltend gemachten medizinischen Probleme stellen aber offensichtlich keine medizinische Notlage (vgl. E. 8.3.1 supra) und somit auch kein Vollzugshindernis dar.</w:t>
      </w:r>
    </w:p>
    <w:p>
      <w:r>
        <w:rPr>
          <w:b/>
        </w:rPr>
        <w:t>E. 8.3.5</w:t>
      </w:r>
    </w:p>
    <w:p>
      <w:r>
        <w:t>Ferner führt die Berücksichtigung des Kindeswohls betreffend die Tochter zu keiner anderen Annahme. Nach geltender Rechtsprechung sind bei der Auslegung von Art. 83 Abs. 4 AlG im Lichte von Art. 3 Abs. 1 des Übereinkommens vom 20. November 1989 über die Rechte des Kindes (KRK, SR 0.107) unter dem Aspekt des Wohls des Kindes namentlich fol- gende Kriterien im Rahmen einer gesamtheitlichen Beurteilung von Bedeu- tung: Alter, Reife, Abhängigkeiten, Art (Nähe, Intensität, Tragfähigkeit) sei- ner Beziehungen, Eigenschaften seiner Bezugspersonen, Stand und Prog- nose bezüglich Entwicklung/Ausbildung sowie der Grad der erfolgten In- tegration bei einem längeren Aufenthalt in der Schweiz (vgl. BVGE 2015/30 E. 7.2 m.w.H.). Angesichts des Alters des Kindes (bald […] Jahre) und der Tatsache, dass dieses gemeinsam mit seiner Mutter erst rund eineinhalb Jahre in der Schweiz ist, ist davon auszugehen, dass dessen Hauptbe- zugsperson nach wie vor die Mutter ist. Mit dem Vater habe sie zudem regelmässigen telefonischen Kontakt (vgl. SEM-act. 46/20 F25, 48/2). Eine eigenständige Integration in das hiesige Umfeld dürfte noch nicht in einem Umfang stattgefunden haben, dass eine Übersiedlung nach Kolumbien zu einer Entwurzelung der Tochter führen oder ihre Entwicklung gefährden würde. Auch wenn ein Umzug mit Herausforderungen verbunden ist, kann die Mutter mit ihrer Tochter in ihren angestammten Kulturraum zurückkeh- ren, wo sie keine unüberwindbaren sprachlichen oder gesellschaftlichen Barrieren vorfinden werden. Von einer derart fortgeschrittenen individuel- len Verwurzelung in der Schweiz, dass eine Rückkehr von Mutter und Toch- ter in die Heimat mit dem Kindeswohl nicht vereinbar wäre, kann daher nicht ausgegangen werden (vgl. Urteile des BVGer E-6087/2020 vom 6. Juli 2022 E. 7.5.4; E-7215/2018 vom 12. Dezember 2019 E. 7.3). Vor diesem Hintergrund spricht auch das Kindeswohl nicht gegen die Zumut- barkeit des Wegweisungsvollzugs.</w:t>
      </w:r>
    </w:p>
    <w:p>
      <w:r>
        <w:t>E-5845/2022 Seite 16</w:t>
      </w:r>
    </w:p>
    <w:p>
      <w:r>
        <w:rPr>
          <w:b/>
        </w:rPr>
        <w:t>E. 8.3.6</w:t>
      </w:r>
    </w:p>
    <w:p>
      <w:r>
        <w:t>Nach dem Gesagten erweist sich der Vollzug der Wegweisung auch als zumutbar.</w:t>
      </w:r>
    </w:p>
    <w:p>
      <w:r>
        <w:rPr>
          <w:b/>
        </w:rPr>
        <w:t>E. 8.4</w:t>
      </w:r>
    </w:p>
    <w:p>
      <w:r>
        <w:t>Schliesslich obliegt es den Beschwerdeführerinnen, sich bei der zu- ständigen Vertretung des Heimatstaates die für eine Rückkehr notwendi- gen Reisedokumente – insbesondere für die Tochter – zu beschaffen (vgl. Art. 8 Abs. 4 AsylG und dazu auch BVGE 2008/34 E. 12), weshalb der Voll- 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den Beschwer- deführerinnen aufzuerlegen (Art. 63 Abs. 1 VwVG). Nachdem das Gesuch um Gewährung der unentgeltlichen Prozessführung mit Instruktionsverfü- gung vom 29. Dezember 2022 gutgeheissen wurde und keine Verände- rung der finanziellen Verhältnisse der Beschwerdeführerinnen eingetreten sind, sind diesen keine Verfahrenskosten aufzuerlegen.</w:t>
      </w:r>
    </w:p>
    <w:p>
      <w:r>
        <w:rPr>
          <w:b/>
        </w:rPr>
        <w:t>E. 10.2</w:t>
      </w:r>
    </w:p>
    <w:p>
      <w:r>
        <w:t>Mit derselben Verfügung wurde das Gesuch um amtliche Verbeistän- dung gutgeheissen und den Beschwerdeführerinnen ihre Rechtsvertreterin als amtliche Rechtsbeiständin bestellt. Demnach ist dieser ein amtliches Honorar für ihre notwendigen Aufwendungen im Beschwerdeverfahren auszurichten. Bei amtlicher Vertretung geht das Bundesverwaltungsgericht in der Regel von einem Stundenansatz von Fr. 200.– bis Fr. 220.– für an- waltliche Vertreterinnen und Vertreter aus (vgl. Art. 12 i.V.m. Art. 10 Abs. 2 des Reglements vom 21. Februar 2008 über die Kosten und Entschädigun- gen vor dem Bundesverwaltungsgericht [VGKE, SR 173.320.2]). In der Kostennote vom 6. Februar 2023 wurde ein Vertretungsaufwand von ins- gesamt Fr. 4'032.50 geltend gemacht, ausgehend von einem zeitlichen Aufwand von 805 Minuten (dies entspricht rund 13.5 Stunden, Anm. BVGer) zu einem Stundenansatz von Fr. 300.–, wobei der Stundenansatz</w:t>
      </w:r>
    </w:p>
    <w:p>
      <w:r>
        <w:t>E-5845/2022 Seite 17 im Falle des Unterliegens auf Fr. 220.– festgesetzt werden könne. Der gel- tend gemachte zeitliche Aufwand für die Redaktion der Beschwerde er- scheint indessen im Vergleich zu ähnlich gelagerten Fällen als überhöht und ist auf 9.5 Stunden zu kürzen. Die Kosten für die ausgewiesenen Aus- lagen sind zu ersetzen. Der amtlichen Rechtsbeiständin wird zu Lasten der Gerichtskasse ein amtliches Honorar von Fr. 2’100.– (inkl. Auslagen) aus- gerichtet. (Dispositiv nächste Seite)</w:t>
      </w:r>
    </w:p>
    <w:p>
      <w:r>
        <w:t>E-5845/2022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