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E-5845/2015 vom 28. Juni 2016</w:t>
      </w:r>
    </w:p>
    <w:p>
      <w:r>
        <w:t>Bundesverwaltungsgericht, 2016-06-28, DE</w:t>
      </w:r>
    </w:p>
    <w:p>
      <w:r>
        <w:rPr>
          <w:b/>
        </w:rPr>
        <w:t xml:space="preserve">Quelle: </w:t>
      </w:r>
      <w:r>
        <w:t>https://mcp.opencaselaw.ch/entscheid/bvger_E-5845_2015</w:t>
      </w:r>
    </w:p>
    <w:p>
      <w:r>
        <w:t>FR: TAF E-5845/2015 du 28 juin 2016</w:t>
      </w:r>
    </w:p>
    <w:p>
      <w:r>
        <w:t>IT: TAF E-5845/2015 del 28 giugno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(Art. 108 Abs. 2 AsylG und Art. 52 Abs. 1 VwVG)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 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w:t>
      </w:r>
    </w:p>
    <w:p>
      <w:r>
        <w:t>Gemäss Art. 31a Abs. 1 Bst. b AsylG ist in der Regel auf Asylgesuche nicht einzutreten,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4</w:t>
      </w:r>
    </w:p>
    <w:p>
      <w:r>
        <w:t>Die Vorinstanz führt in der angefochtenen Verfügung zutreffend aus, dass die staatsvertragliche Zuständigkeit Italiens zur Durchführung des Asyl- und Wegweisungsverfahrens aufgrund der Angaben der Beschwerdeführerin (nämlich am 7. Juni 2015 in Italien eigereist zu sein) sowie des Umstands, dass die italienischen Behörden zum Übernahmegesuch des SEM vom 30. Juni 2015 keine Stellung genommen hätten, feststehe. Die grundsätzliche staatsvertragliche Zuständigkeit Italiens wird in der Beschwerde nicht bestritten. Insbesondere wird aus dem Verhältnis zum in der Schweiz als Flüchtling anerkannten asylberechtigten Verlobten keine Zuständigkeit der Schweiz aufgrund der Dublin-III-VO abgeleitet. Vielmehr bleibt die Feststellung der Vorinstanz, bei diesem Verlobten handle es sich nicht um einen Familienangehörigen im Sinne von Art.2 Bst. g Dublin-III-VO, unbestritten. Stattdessen wird der Selbsteintritt der Schweiz eingefordert. Die grundsätzliche Zuständigkeit Italiens steht nach dem Gesagten aufgrund der Akten und mangels Bestreitung fest. Daher kann offengelassen werden, ob die Feststellung der Vorinstanz, dass es sich beim Verlobten nicht um einen Familienangehörigen im Sinne des zur Festlegung der Zuständigkeit anwendbaren Rechts handle, zutrifft.</w:t>
      </w:r>
    </w:p>
    <w:p>
      <w:r>
        <w:rPr>
          <w:b/>
        </w:rPr>
        <w:t>E. 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 Bestimmung ist im Beschwerdeverfahren nicht direkt anwendbar, sondern kann nur in Verbindung mit einer anderen Norm des nationalen oder internationalen Rechts angerufen werden (BVGE 2010/45 E. 5). Droht jedoch ein Verstoss gegen übergeordnetes Recht, namentlich ein Verstoss gegen eine zwingende Norm des Völkerrechts, so besteht ein einklagbarer Anspruch auf Ausübung des Selbsteintrittsrechts und entsprechend eine Pflicht, von einer Überstellung abzusehen und den Selbsteintritt auszuüben (BVGE 2010/45 E. 7.2).</w:t>
      </w:r>
    </w:p>
    <w:p>
      <w:r>
        <w:rPr>
          <w:b/>
        </w:rPr>
        <w:t>E. 6</w:t>
      </w:r>
    </w:p>
    <w:p>
      <w:r>
        <w:t>Es ist von der Vermutung auszugehen, Italien halte seine völker- und EUrechtlichen Verpflichtungen ein, halte sich insbesondere an das Rückschiebungsverbot sowie die Aufnahmevorschriften der EU. Die Beschwerdeführerin bringt nichts vor, was geeignet wäre, diese Vermutung umzustossen. Die Beschwerdeführerin rügt, in casu sei entgegen dem Grundsatzentscheid des Bundesverwaltungsgerichts BVGE 2015/4 vom 12. März 2015 E.4.3 bei den italienischen Behörden keine vorgängige (individuelle) Zusicherung (einer kindsgerechten Unterbringung unter Wahrung der Einheit der Familie) des noch ungeborenen Kindes eingeholt worden. In der zweiten Vernehmlassung vom 1. Juni 2016 führt die Vorinstanz zutreffend aus, dass mit der ausdrücklichen Erklärung Italiens vom 31. Mai 2016 die in BVGE 2015/4 E.4.3 im Sinne einer völkerrechtlichen Zulässigkeitsvoraussetzung der Überstellung nach Italien geforderte Zusicherung einer kindsgerechten Unterbringung unter Wahrung der Einheit der Familie gemäss jüngerer Rechtsprechung des Bundesverwaltungsgerichts gegeben sei. Die Überstellungskriterien des zur Publikation vorgesehenen Koordinationsurteils D 6358/2015 vom 7. April 2016 E. 5.2 sind erfüllt.</w:t>
      </w:r>
    </w:p>
    <w:p>
      <w:r>
        <w:rPr>
          <w:b/>
        </w:rPr>
        <w:t>E. 7</w:t>
      </w:r>
    </w:p>
    <w:p>
      <w:r>
        <w:t>Gemäss Art. 51 Abs. 3 AsylG werden unter dem Titel Familienasyl in der Schweiz geborene Kinder von Flüchtlingen auch als Flüchtlinge anerkannt, sofern keine besonderen Umstände dagegen sprechen.</w:t>
      </w:r>
    </w:p>
    <w:p>
      <w:r>
        <w:rPr>
          <w:b/>
        </w:rPr>
        <w:t>E. 8</w:t>
      </w:r>
    </w:p>
    <w:p>
      <w:r>
        <w:t>Die Vorinstanz hat es in der zweiten Vernehmlassung versäumt, sich mit dem neuen Sachverhalt (Geburt eines Kindes und Vaterschaftsanerkennung durch einen asylberechtigten Flüchtling) eingehend auseinanderzusetzen. Sie verneinte zwar Ansprüche aus Art. 8 EMRK, prüfte aber nicht die derivative Flüchtlingseigenschaft des Kindes aus Art. 51 AsylG und die entsprechenden Konsequenzen für seine Mutter. Insbesondere legte sie nicht dar, welche besonderen Umstände vorliegend gegen die derivative Flüchtlingseigenschaft des Kindes sprechen sollten. Im Interesse des Erhalts des Instanzenzuges ist die angefochtene Verfügung deshalb aufzuheben und die Vorinstanz anzuweisen, die Rechtsstellung der Beschwerdeführenden im Lichte von Art. 51 AsylG zu prüfen.</w:t>
      </w:r>
    </w:p>
    <w:p>
      <w:r>
        <w:rPr>
          <w:b/>
        </w:rPr>
        <w:t>E. 9</w:t>
      </w:r>
    </w:p>
    <w:p>
      <w:r>
        <w:t>Nach dem Gesagten ist die Beschwerde im Sinne der Erwägungen gutzuheissen, die angefochtene Verfügung aufzuheben und die Sache an die Vorinstanz zurückzuweisen, welche zur Prüfung anzuweisen ist, ob die Beschwerdeführenden aus dem Umstand, dass ihr Verlobter respektive Vater in der Schweiz asylberechtigt ist, einen Anspruch aus Art. 51 AsylG ableiten können.</w:t>
      </w:r>
    </w:p>
    <w:p>
      <w:r>
        <w:rPr>
          <w:b/>
        </w:rPr>
        <w:t>E. 10</w:t>
      </w:r>
    </w:p>
    <w:p>
      <w:r>
        <w:t>Bei diesem Ausgang des Verfahrens sind keine Kosten zu erheben (Art. 63 Abs. 1 und 2 VwVG). Den obsiegenden Beschwerdeführern ist in Anwendung von Art. 64 Abs. 1 VwVG und Art. 8 des Reglements vom 21. Februar 2008 über die Kosten und Entschädigungen vor dem Bundesverwaltungsgericht (VGKE, SR 173.320.2) eine Entschädigung für die notwendigerweise erwachsenen Parteikosten zuzusprechen. In der Honorarnote vom 17. September 2015 weist die Rechtsvertreterin einen Vertretungsaufwand von 290 Minuten zu einem Stundenansatz von Fr. 300.- und Barauslagen im Betrag von Fr. 21.30, mithin Gesamtkosten von Fr. 1'471.30 aus. Der Aufwand seit Einreichung der Kostennote ist durch den Posten "Nachbesprechung", der dort auf 60 Minuten geschätzt wird, abgegolten. Der ausgewiesene Vertretungsaufwand erscheint insgesamt unangemessen. Insbesondere betreffen einzelne Punkte der Kostennote nicht zu vergütenden, reinen Administrativaufwand. Die Parteientschädigung ist daher entsprechend zu kürzen und gesamthaft auf Fr. 1'200.- festzusetzen. Die Vor- instanz ist nach Art. 64 Abs. 2 VwVG anzuweisen, den Beschwerdeführenden diesen Betrag als Parteientschädigung zu entrichten. Die Gesuche um unentgeltliche Rechtspflege sowie um Verzicht auf die Erhebung eines Kostenvorschusses sind folglich gegenstandslos geworden. Die Vernehmlassung vom 1. Juni 2016 wird den Beschwerdeführenden zur Kenntnis gebracht.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