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E-5839/2018 vom 16. Januar 2019</w:t>
      </w:r>
    </w:p>
    <w:p>
      <w:r>
        <w:t>Bundesverwaltungsgericht, 2019-01-16, DE</w:t>
      </w:r>
    </w:p>
    <w:p>
      <w:r>
        <w:rPr>
          <w:b/>
        </w:rPr>
        <w:t xml:space="preserve">Quelle: </w:t>
      </w:r>
      <w:r>
        <w:t>https://mcp.opencaselaw.ch/entscheid/bvger_E-5839_2018</w:t>
      </w:r>
    </w:p>
    <w:p>
      <w:r>
        <w:t>FR: TAF E-5839/2018 du 16 janvier 2019</w:t>
      </w:r>
    </w:p>
    <w:p>
      <w:r>
        <w:t>IT: TAF E-5839/2018 del 16 gennaio 2019</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Der Gesuchsteller macht den Revisionstatbestand von Art. 123 Abs. 2Bst. a BGG (neue erhebliche Tatsachen und Beweismittel) geltend und zeigt ausserdem die Rechtzeitigkeit des Revisionsbegehrens auf, indem er die Tatsachenerfahrung zum Zeitpunkt des Erhalts der vorinstanzlichen Verfügung am 3. September 2018 behauptet und das Revisionsgesuch rund einen Monat später und somit innert der 90-tägigen Frist gemäss Art. 124 Abs. 1 Bst. d BGG einreicht. Auf das frist- und formgerecht eingereichte Revisionsgesuch ist deshalb einzutreten.</w:t>
      </w:r>
    </w:p>
    <w:p>
      <w:r>
        <w:rPr>
          <w:b/>
        </w:rPr>
        <w:t>E. 3.1</w:t>
      </w:r>
    </w:p>
    <w:p>
      <w:r>
        <w:t>Beim angefochtenen Urteil vom 11. September 2018 handelt es sich um einen Nichteintretensentscheid zufolge verpasster Beschwerdefrist, also um ein Prozessurteil. Bei Nichteintretensentscheiden ist die Kognition der Rechtsmittelinstanz auf die Überprüfung der Frage beschränkt, ob zu Recht oder zu Unrecht ein Nichteintretensentscheid getroffen worden ist. Dementsprechend kann die Revision des Urteils nur mit Gründen verlangt werden, die sich auf das Zustandekommen dieses Prozessurteils selber beziehen, nicht aber auf das zugrunde liegende Sachurteil (vgl. EMARK 1998 Nr. 8). Das vorliegende Revisionsgesuch erfüllt offensichtlich auch diese Anforderung.</w:t>
      </w:r>
    </w:p>
    <w:p>
      <w:r>
        <w:rPr>
          <w:b/>
        </w:rPr>
        <w:t>E. 4</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4.1</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a.a.O., S. 306, Rz. 5.47).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3. Aufl. 2018,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S.306, Rz. 5.47).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Moser/Beusch/Kneubühler, a.a.O., S. 307, Rz. 5.48). Nach dem Urteilszeitpunkt entstandene Beweismittel sind unzulässig. Solche Beweismittel sind auf dem Weg des Wiedererwägungsgesuchs bei der verfügenden Behörde einzureichen. Das vorgebrachte Beweismittel muss für die Tatbestandsermittlung von Belang sein; es genügt nicht, wenn es zu einer neuen Würdigung der bei der Erstbeurteilung bereits bekannten Tatsachen führen soll (vgl. Moser/Beusch/Kneubühler, a.a.O., S. 307, Rz. 5.49).</w:t>
      </w:r>
    </w:p>
    <w:p>
      <w:r>
        <w:rPr>
          <w:b/>
        </w:rPr>
        <w:t>E. 5</w:t>
      </w:r>
    </w:p>
    <w:p>
      <w:r>
        <w:t>Vorweg ist festzuhalten, dass die geltend gemachte neue Tatsache (Eröffnungszeitpunkt der vorinstanzlichen Verfügung im Rahmen der Dienstleistung "Abo mit Scanning") und das hierfür vorgelegte Beweismittel (Briefumschlag der in Frage stehenden Sendung) unzweifelhaft vor dem Nichteintretensentscheid vom 11. September 2018 entstanden sind. Die Auszüge aus dem "E-Post"-Konto des Rechtsvertreters des Beschwerdeführers sind nach dem in Frage stehenden Urteil entstanden, beziehen sich aber ebenfalls auf vorbestandene Tatsachen. Die Frage, ob es dem Gesuchsteller im früheren Verfahren möglich gewesen wäre, diese Beweismittel beizubringen, oder ob überhaupt eine neu erfahrene oder unbewiesen gebliebene Tatsache vorliegt, kann angesichts der nachfolgenden Ausführungen offen gelassen werden. Indes ist festzustellen, dass der Gesuchsteller keinen Anlass hatte im ordentlichen Verfahren Beweismittel einzureichen, zumal ihm kein rechtliches Gehör zur Frage, ob er die Beschwerdefrist eingehalten habe, gewährt wurde.</w:t>
      </w:r>
    </w:p>
    <w:p>
      <w:r>
        <w:rPr>
          <w:b/>
        </w:rPr>
        <w:t>E. 6.1</w:t>
      </w:r>
    </w:p>
    <w:p>
      <w:r>
        <w:t>Gemäss ständiger bundesgerichtlicher Rechtsprechung gilt eine Sendung als zugestellt, wenn sie sich im Verfügungsbereich des Adressaten befindet und er demzufolge von ihr Kenntnis nehmen kann. Auf die tatsächliche Kenntnisnahme kommt es nicht an. Der Adressat hat sich so zu organisieren, dass er in der Lage ist, vom zugestellten Dokument Kenntnis zu erhalten. Die Rechtssicherheit verlangt, dass die Vorschriften über den Beginn, die Dauer und die Einhaltung der Beschwerdefristen möglichst klar und einfach zu handhaben sind (vgl. BGE 115 Ia 12 E. 3b; 113 Ib 296E. 2a; 109 Ia 15 E. 4).</w:t>
      </w:r>
    </w:p>
    <w:p>
      <w:r>
        <w:rPr>
          <w:b/>
        </w:rPr>
        <w:t>E. 6.2</w:t>
      </w:r>
    </w:p>
    <w:p>
      <w:r>
        <w:t>Im Rahmen der Dienstleistung "Abo mit Scanning" nimmt die Post an den Kunden adressierte Sendungen entgegen, scannt den Umschlag und stellt dem Kunden den Scan elektronisch zur Verfügung. Auf Wunsch wird das eingescannte Umschlagsbild auf elektronischem Weg an die vom Kunden angegebene E-Mail-Adresse verschickt. Der Kunde kann dann entscheiden, was mit der Sendung weiter geschehen soll: z.B. Scannen des Inhalts mit optionaler elektronischer Zustellung, Vernichtung oder Nachsendung auf postalischem Weg an eine vom Kunden angegebene Zustelladresse (vgl. Teilnahmebedingungen Abo mit Scanning, Ziff. 3.1, abrufbar unter &lt; https://www.post.ch/-/media/post/agb/tnb-epost-office-abo-mit-scanning.pdf?la=de&amp;vs=7 &gt;, abgerufen am 03.01.19). Gemäss Auskunft der Post wird der Kunde, je nach Einstellung, via E-Mail oder SMS über den Erhalt einer Sendung informiert (vgl. E-Mail vom 26. Oktober 2018). Aus den "Teilnahmebedingungen Abo mit Scanning" geht ferner hervor, dass der Kunde die Post bevollmächtigt, alle über "Abo mit Scanning" empfangbaren Sendungen, insbesondere auch Einschreiben, für ihn entgegenzunehmen. Die Post leistet die Unterschrift im Namen des Kunden für alle an ihn adressierten Sendungen (Ziff. 3.3). Des Weiteren wird festgehalten, dass die Verwendung von "Abo mit Scanning", insbesondere auch zum Zwecke der Wahrung von Fristen, ausschliesslich auf Nutzen und Gefahr des Kunden erfolge. Der Kunde sei sich bewusst, dass bei einigen Sendungen die Entgegennahme durch die Post Fristen auslöse. Es sei daher nicht massgebend, wann der Kunde effektiv Kenntnis vom Eingang der Sendungen erhalte (Ziff. 10). Die Kenntnisnahme des Vorgesagten bestätigt der Kunde im Rahmen des Registrierungsprozesses.</w:t>
      </w:r>
    </w:p>
    <w:p>
      <w:r>
        <w:rPr>
          <w:b/>
        </w:rPr>
        <w:t>E. 6.3</w:t>
      </w:r>
    </w:p>
    <w:p>
      <w:r>
        <w:t>Die in Frage stehende Verfügung der Vorinstanz wurde gemäss Rückschein am 22. August 2018 von der Schweizerischen Post entgegengenommen. Wie aus den vorstehenden Ausführungen folgt, leistete die Post Unterschrift im Namen des Gesuchstellers. Dieser hat mit Abschluss der Dienstleistung "Abo mit Scanning" der Post eine Vollmacht für die Entgegennahme von an ihn adressierten Sendungen erteilt und muss sich entsprechend die Annahme der Sendung durch die Post anrechnen lassen. Folglich gilt der Zeitpunkt der Entgegennahme durch die Post - der22. August 2018 - als Zustelldatum, weshalb die Beschwerde vom 5. September 2018 verspätet erfolgte (vgl. Art. 108 Abs. 2 AsylG). Im Übrigen ist davon auszugehen, dass der Gesuchsteller zum selben Zeitpunkt, also am 22. August 2018, über den Erhalt der Sendung per SMS oder E-Mail informiert wurde. Sie befand sich somit ab diesem Moment in seinem Verfügungsbereich und es wäre ihm jederzeit möglich gewesen, vom Inhalt der Sendung Kenntnis zu nehmen. Dass der Gesuchsteller beziehungsweise sein Rechtsvertreter dies erst am 30. August 2018 (gemäss Auskunft der Post) tat, ist dabei unerheblich. Auch aus den Auszügen aus dem "E-Post"-Konto des Rechtsvertreters des Gesuchstellers lässt sich nichts zu dessen Gunsten ableiten, vermögen diese doch den Zeitpunkt der Entgegennahme der Sendung am 22. August 2018 nicht in Frage zu stellen.</w:t>
      </w:r>
    </w:p>
    <w:p>
      <w:r>
        <w:rPr>
          <w:b/>
        </w:rPr>
        <w:t>E. 6.4</w:t>
      </w:r>
    </w:p>
    <w:p>
      <w:r>
        <w:t>Zusammenfassend ist festzuhalten, dass keine revisionsrechtlich relevanten Gründe dargetan sind. Das Gesuch vom 10. Oktober 2018 um Revision des Urteils des Bundesverwaltungsgerichts ist demzufolge abzuweisen.</w:t>
      </w:r>
    </w:p>
    <w:p>
      <w:r>
        <w:rPr>
          <w:b/>
        </w:rPr>
        <w:t>E. 7</w:t>
      </w:r>
    </w:p>
    <w:p>
      <w:r>
        <w:t>Bei diesem Ausgang des Verfahrens wären die Kosten dem Gesuchsteller aufzuerlegen (Art. 37 VGG i.V.m. Art. 63 Abs. 1 VwVG; Art. 1-3 des Reglements vom 21. Februar 2008 über die Kosten und Entschädigungen vor dem Bundesverwaltungsgericht [VGKE, SR 173.320.2]). Auf deren Erhebung ist indes angesichts des mit Verfügung vom 1. November 2018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