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E-5838/2023 vom 9. November 2023</w:t>
      </w:r>
    </w:p>
    <w:p>
      <w:r>
        <w:t>Bundesverwaltungsgericht, 2023-11-09, DE</w:t>
      </w:r>
    </w:p>
    <w:p>
      <w:r>
        <w:rPr>
          <w:b/>
        </w:rPr>
        <w:t xml:space="preserve">Quelle: </w:t>
      </w:r>
      <w:r>
        <w:t>https://mcp.opencaselaw.ch/entscheid/bvger_E-5838_2023</w:t>
      </w:r>
    </w:p>
    <w:p>
      <w:r>
        <w:t>FR: TAF E-5838/2023 du 9 novembre 2023</w:t>
      </w:r>
    </w:p>
    <w:p>
      <w:r>
        <w:t>IT: TAF E-5838/2023 del 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Ein Abgleich der Fingerabdrücke des Beschwerdeführers mit der «Eurodac»-Datenbank ergab, dass dieser am (...) 2018 in den Niederlanden ein Asylgesuch gestellt hatte (vgl. SEM-Akte [...]-5/1). Die zuständigen niederländischen Behörden haben dem Wiederaufnahmegesuch des SEM gestützt auf Art. 18 Abs. 1 Bst. b Dublin-III-VO ausdrücklich zugestimmt (vgl. SEM-Akte [...]-17/1). Die grundsätzliche Zuständigkeit der Niederlande ist somit gegeben. Das Prinzip der Überprüfung eines Asylgesuchs durch einen einzigen Mitgliedstaat («one chance only») dient der Vermeidung von multiplen Asylgesuchen in verschiedenen Staaten (sogenanntes «asylum shopping»; vgl. BVGE 2017 VI/5 E. 8.5.3.3). Der auf Beschwerdeebene erstmals geltend gemachte und nicht näher begründete Umstand, dass er zur Abgabe seiner Fingerabdrücke in den Niederlanden gezwungen worden sei, vermag daran nichts zu ändern, zumal bereits der illegale Grenzübertritt die Zuständigkeit der Niederlande begründen würde.</w:t>
      </w:r>
    </w:p>
    <w:p>
      <w:r>
        <w:rPr>
          <w:b/>
        </w:rPr>
        <w:t>E. 5.1</w:t>
      </w:r>
    </w:p>
    <w:p>
      <w:r>
        <w:t>Im Lichte von Art. 3 Abs. 2 Dublin-III-VO ist zu prüfen, ob es wesentliche Gründe für die Annahme gibt, das Asylverfahren und die Aufnahme-bedingungen für Asylsuchende in den Niederlanden würden systemische Schwachstellen aufweisen, die eine Gefahr einer unmenschlichen oder entwürdigenden Behandlung im Sinne von Art. 4 der EU-Grundrechte-charta mit sich bringen würden.</w:t>
      </w:r>
    </w:p>
    <w:p>
      <w:r>
        <w:rPr>
          <w:b/>
        </w:rPr>
        <w:t>E. 5.2</w:t>
      </w:r>
    </w:p>
    <w:p>
      <w:r>
        <w:t>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kommen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Gemäss Rechtsprechung des Bundesverwaltungsgerichts bestehen keine Gründe für die Annahme, das Asylverfahren und die Aufnahmebedingungen für Antragstellende in den Niederlanden würden systemische Schwachstellen im Sinne von Art. 3 Abs. 2 Dublin-III-VO aufweisen (vgl. etwa die Urteile BVGer F-4000/2023 vom 26. Juli 2023 E. 6, D-3532/2023 vom 3. Juli 2023 S. 5 oder D-1675/2023 vom 14. April 2023 S. 6). Insbesondere lassen auch die vom Beschwerdeführer bei seinem Aufenthalt in den Niederlanden geltend gemachten Vorkommnisse (Androhung von Inhaftierung bei Nichtkooperation zur Fingerabdruckabnahme und Verweigerung der gesundheitlichen Versorgung) nicht den Schluss zu, er hätte bei einer Überstellung in die Niederlande mit hoher Wahrscheinlichkeit eine unmenschliche oder erniedrigende Behandlung im Sinne von Art. 3 EMRK, Art. 3 FoK oder Art. 4 EU-Grundrechtecharta zu gewärtigen. Nach dem Gesagten besteht vorliegend auch unter Berücksichtigung der Vorbringen des Beschwerdeführers keine Veranlassung für eine Änderung der Rechtsprechung.</w:t>
      </w:r>
    </w:p>
    <w:p>
      <w:r>
        <w:rPr>
          <w:b/>
        </w:rPr>
        <w:t>E. 5.4</w:t>
      </w:r>
    </w:p>
    <w:p>
      <w:r>
        <w:t>Unter diesen Umständen ist die Anwendung von Art. 3 Abs. 2 Dublin-III-VO nicht gerechtfertigt.</w:t>
      </w:r>
    </w:p>
    <w:p>
      <w:r>
        <w:rPr>
          <w:b/>
        </w:rPr>
        <w:t>E. 6.1</w:t>
      </w:r>
    </w:p>
    <w:p>
      <w:r>
        <w:t>Sodann sind den Akten keine Anhaltspunkte zu entnehmen, die eine Ausübung des Selbsteintrittsrechts der Schweiz nach Art. 17 Abs. 1 Satz 1 Dublin-III-VO sowie Art. 29a Abs. 3 AsylV 1 nahelegen würden.</w:t>
      </w:r>
    </w:p>
    <w:p>
      <w:r>
        <w:rPr>
          <w:b/>
        </w:rPr>
        <w:t>E. 6.2</w:t>
      </w:r>
    </w:p>
    <w:p>
      <w:r>
        <w:t>Der Beschwerdeführer hat kein konkretes und ernsthaftes Risiko dargetan, die niederländischen Behörden würden sich weigern, ihn wieder aufzunehmen und seinen Antrag auf internationalen Schutz unter Einhaltung der Regeln der Verfahrensrichtlinie zu prüfen. Den Akten sind denn auch keine Gründe für die Annahme zu entnehmen, die Niederlande werden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den Niederlanden seien derart schlecht, dass sie zu einer Verletzung von Art. 4 der EU-Grundrechtecharta, Art. 3 EMRK oder Art. 3 FoK führen könnten.</w:t>
      </w:r>
    </w:p>
    <w:p>
      <w:r>
        <w:rPr>
          <w:b/>
        </w:rPr>
        <w:t>E. 6.3</w:t>
      </w:r>
    </w:p>
    <w:p>
      <w:r>
        <w:t>Der Beschwerdeführer hat auch keine konkreten Hinweise für die Annahme dargetan, die Niederlande würden ihm dauerhaft die ihm gemäss Aufnahmerichtlinie zustehenden minimalen Lebensbedingungen vorenthalten. Bei einer allfälligen vorübergehenden Einschränkung könnte er sich im Übrigen nötigenfalls an die niederländischen Behörden wenden und die ihm zustehenden Aufnahmebedingungen auf dem Rechtsweg einfordern (vgl. Art. 26 Aufnahmerichtlinie).</w:t>
      </w:r>
    </w:p>
    <w:p>
      <w:r>
        <w:rPr>
          <w:b/>
        </w:rPr>
        <w:t>E. 6.4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Die vom Beschwerdeführer geltend gemachten physischen ([...]probleme) sowie psychischen Probleme sind nicht ausgewiesen. Selbst wenn seine vorgebrachten Probleme tatsächlich bestünden, wären diese nicht als derart schwerwiegend anzusehen, dass aus humanitären Gründen oder gar wegen einer drohenden Verletzung von Art. 3 EMRK von einer Überstellung in die Niederlande abgesehen werden müsste. Des Weiteren ist hierzu auf die zutreffenden Ausführungen der Vorinstanz zu verweisen (vgl. Verfügung des SEM 20. Oktober 2023 Ziff. II S. 4 f.). Im Übrigen ist davon auszugehen, dass die Niederlande grundsätzlich über eine ausreichende medizinische Infrastruktur verfügen.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die Niederlande ihren Verpflichtungen im Rahmen der Dublin-III-VO in medizinischer Hinsicht nicht nachkommen würde.</w:t>
      </w:r>
    </w:p>
    <w:p>
      <w:r>
        <w:rPr>
          <w:b/>
        </w:rPr>
        <w:t>E. 6.5</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6.6</w:t>
      </w:r>
    </w:p>
    <w:p>
      <w:r>
        <w:t>Nach dem Gesagten bleiben die Niederlande der für die Behandlung des Asylgesuchs des Beschwerdeführers zuständige Mitgliedstaat gemäss Dublin-III-VO. Der Vollständigkeit halber ist festzuhalten, dass die Dublin-III-VO den Schutzsuchenden kein Recht einräumt, den ihren Antrag prüfenden Staat selbst auszuwählen (vgl. auch BVGE 2010/45 E. 8.3).</w:t>
      </w:r>
    </w:p>
    <w:p>
      <w:r>
        <w:rPr>
          <w:b/>
        </w:rPr>
        <w:t>E. 7</w:t>
      </w:r>
    </w:p>
    <w:p>
      <w:r>
        <w:t>Das SEM ist dementsprechend zu Recht in Anwendung von Art. 31a Abs. 1 Bst. b AsylG auf das Asylgesuch des Beschwerdeführers nicht eingetreten. Da er nicht im Besitz einer gültigen Aufenthalts- oder Niederlassungsbewilligung ist, wurde die Überstellung in die Niederlande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Antrag auf Gewährung der aufschiebenden Wirkung gegenstandslos geworden ist. Der angeordnete Vollzugsstopp fällt mir vorliegendem Urteil dahin.</w:t>
      </w:r>
    </w:p>
    <w:p>
      <w:r>
        <w:rPr>
          <w:b/>
        </w:rPr>
        <w:t>E. 10</w:t>
      </w:r>
    </w:p>
    <w:p>
      <w:r>
        <w:t>Das mit der Beschwerde gestellte Gesuch um Gewährung der unentgeltlichen Prozessführung ist abzuweisen, da die Begehren - wie sich aus den vorstehenden Erwägungen ergibt - von vornherein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