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E-5836/2013 vom 12. Februar 2014</w:t>
      </w:r>
    </w:p>
    <w:p>
      <w:r>
        <w:t>Bundesverwaltungsgericht, 2014-02-12, FR</w:t>
      </w:r>
    </w:p>
    <w:p>
      <w:r>
        <w:rPr>
          <w:b/>
        </w:rPr>
        <w:t xml:space="preserve">Quelle: </w:t>
      </w:r>
      <w:r>
        <w:t>https://mcp.opencaselaw.ch/entscheid/bvger_E-5836_2013</w:t>
      </w:r>
    </w:p>
    <w:p>
      <w:r>
        <w:t>FR: TAF E-5836/2013 du 12 février 2014</w:t>
      </w:r>
    </w:p>
    <w:p>
      <w:r>
        <w:t>IT: TAF E-5836/2013 del 12 febbraio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al. 1 et 52 al. 1 PA et art. 108 al. 1 LAsi).</w:t>
      </w:r>
    </w:p>
    <w:p>
      <w:r>
        <w:rPr>
          <w:b/>
        </w:rPr>
        <w:t>E. 2.1</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9s. p. 1159 et réf. cit.)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194s. et réf. cit.).</w:t>
      </w:r>
    </w:p>
    <w:p>
      <w:r>
        <w:rPr>
          <w:b/>
        </w:rPr>
        <w:t>E. 2.2</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JICRA 2003 n° 7 p. 45 et jurisp. cit.).</w:t>
      </w:r>
    </w:p>
    <w:p>
      <w:r>
        <w:rPr>
          <w:b/>
        </w:rPr>
        <w:t>E. 3.1</w:t>
      </w:r>
    </w:p>
    <w:p>
      <w:r>
        <w:t>La première question qui se pose est donc de savoir si les faits motivant la demande de réexamen sont nouveaux, à savoir s'il s'agit d'éléments postérieurs à la fin de la procédure ordinaire, de points ignorés des recourants à ce moment, ou de faits dont ils ne pouvaient ou n'avaient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l'occurrence, l'existence de troubles psychiques chez la recourante a été soulevée pour la première fois dans la demande de réexamen du 17 août 2012. La première hospitalisation de B._______ aurait toutefois eu lieu en mars-avril 2010, soit antérieurement à la décision de l'ODM du 9 mars 2011, si bien que cet élément spécifique ne peut être pris en considération ici. En revanche, il ressort du premier rapport médical produit que l'intéressée a entamé un nouveau traitement en mai 2012, des troubles psychiques étant réapparus ; ces derniers, ainsi que l'hospitalisation qui s'en est ensuivie, ainsi que les traitements mis sur pied après cette date, constituent donc des éléments incontestablement nouveaux.</w:t>
      </w:r>
    </w:p>
    <w:p>
      <w:r>
        <w:rPr>
          <w:b/>
        </w:rPr>
        <w:t>E. 3.3</w:t>
      </w:r>
    </w:p>
    <w:p>
      <w:r>
        <w:t>Quant à leur pertinence dans le cas d'espèce, le Tribunal rappelle ce qui suit : L'exécution du renvoi des personnes en traitement médical en Suisse ne devient inexigible, au sens de l'art. 83 al. 4 de la loi fédérale du 16 décembre 2005 sur les étrangers (LEtr, RS 142.20), que dans la mesure où elles pourraient, après leur retour, ne plus recevoir les soins essentiels garantissant des conditions minimales d'existence ; par soins essentiels, il faut entendre les soins de médecine générale et d'urgence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(cf. Gabrielle Steffen, Droit aux soins et rationnement, Berne 2002, pp 81 s. et 87). L'art. 83 al. 4 LEtr, disposition exceptionnelle tenant en échec une décision d'exécution du renvoi, ne saurait en revanche être interprété comme une norme qui comprendrait un droit général d'accès en Suisse à des mesures médicales visant à recouvrer la santé ou à la maintenir, au simple motif que l'infrastructure hospitalière et le savoir-faire médical dans le pays d'origine ou de destination de l'intéressé n'atteindrait pas le standard élevé qu'on trouve en Suisse (cf. ATAF 2009/2 consid. 9.3.2 ; JICRA 1993 n° 38). En outre,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3.4</w:t>
      </w:r>
    </w:p>
    <w:p>
      <w:r>
        <w:t>Dans le cas particulier de B._______, il ressort des renseignements médicaux figurant au dossier qu'elle a été en traitement dès mai 2012, puis hospitalisée en urgence, le 30 septembre 2013, pour une schizophrénie paranoïde accompagnée de troubles psychotiques graves et d'hallucinations ; cette mesure avait été décidée en raison d'un important risque auto-agressif. Les thérapeutes en charge du cas ont unanimement insisté sur le caractère sérieux des troubles touchant la recourante, ainsi que sur la nécessité de la poursuite sans heurts du traitement, faute de laquelle le risque suicidaire pourrait réapparaître. Ce traitement consiste en la prise de médicaments neuroleptiques et de benzodiazépines, ainsi qu'en entretiens thérapeutiques réguliers. En outre, il est patent que si l'état de l'intéressée s'est aujourd'hui amélioré, il reste encore sérieux et se trouve marqué par une forte instabilité ; en cas de stress, ou d'interruption du traitement, il est susceptible de s'aggraver à nouveau. Il est donc nécessaire que le traitement, tant médicamenteux que psychothérapeutique, pour lequel aucun terme précis n'a pu être fixé, se poursuive sans être interrompu ; une aide au retour, dont les effets sont par essence temporaires, ne pourrait y suppléer de manière adéquate. Or les infrastructures hospitalières et médicales disponibles au Togo n'apparaissent pas en mesure d'assurer à la recourante les soins nécessaires dans des conditions satisfaisantes. En effet, seuls de rares établissements, situés à Lomé, sont à même de prendre en charge les patients souffrant de troubles psychiques, mais n'offrent qu'un faible nombre de places. L'offre réelle en soins psychiatriques (ou psychothérapeutiques) reste globalement insatisfaisante en raison du manque avéré de professionnels de la santé mentale, principalement en zone rurale ; de manière générale, les équipements médicaux sont d'ailleurs d'une qualité insuffisante au Togo, faute de moyens. En outre, le coût du traitement psychiatrique ou psychothérapeutique doit être assumé entièrement par le patient. Le coût d'une consultation thérapeutique varie entre 5 000 et 15 000 francs CFA. Les prix des médicaments psychotropes, d'ailleurs souvent indisponibles, sont en outre très élevés pour les Togolais ne disposant que d'un revenu moyen, le coût mensuel d'une médication antidépressive variant entre 10 000 et 40 000 francs CFA (cf. OSAR, Togo: Psychiatrische/psychologische Versorgung, 21 novembre 2006 ;Togo : Medizinische Versorgung, 16 juillet 2012). Il apparaît douteux que les intéressés soient en mesure d'assumer de tels frais, ce d'autant plus que le traitement est appelé à se prolonger durant un laps de temps d'une durée impossible à déterminer précisément.</w:t>
      </w:r>
    </w:p>
    <w:p>
      <w:r>
        <w:rPr>
          <w:b/>
        </w:rPr>
        <w:t>E. 3.5</w:t>
      </w:r>
    </w:p>
    <w:p>
      <w:r>
        <w:t>Le caractère précaire des infrastructures médicales au Togo ne représente pas forcément un obstacle dirimant à l'exécution du renvoi de la recourante ; toutefois, cette question peut rester indécise, dans la mesure où d'autres facteurs spécifiques au cas d'espèce sont de nature à faire apparaître la situation globale de l'intéressée sous un jour particulièrement défavorable. En effet, les deux époux sont originaires de localités (G._______ pour le mari, H._______ pour l'épouse) situées dans le centre et le nord du pays, loin de Lomé, où les ressources médicales et, de façon générale, les possibilités de réinsertion font défaut ; en outre, ayant quitté le Togo bien avant de rejoindre la Suisse, ils n'y disposent plus d'aucun soutien familial, leurs proches ayant pratiquement tous disparu ou n'entretenant plus de contacts avec les recourants. Enfin, ces derniers se trouvent en charge de deux enfants encore très jeunes, qui requièrent des soins constants, et dont la santé, voire la survie, pourraient se trouver menacées en cas de retour au Togo ; en effet, l'état de leur mère et son incapacité actuelle à s'occuper d'eux, ainsi que les importantes difficultés où se trouverait leur père d'assumer seul l'entretien de la famille, seraient de nature à les mettre en danger.</w:t>
      </w:r>
    </w:p>
    <w:p>
      <w:r>
        <w:rPr>
          <w:b/>
        </w:rPr>
        <w:t>E. 3.6</w:t>
      </w:r>
    </w:p>
    <w:p>
      <w:r>
        <w:t>Dès lors, compte tenu de la dégradation notable de l'état de santé psychique de la recourante depuis la décision du 9 mars 2011, de la gravité de ses troubles psychiques actuels, du risque d'aggravation de son état de santé psychique en cas d'exécution de son renvoi, du pronostic défavorable sans traitement adéquat et de l'absence de garanties suffisantes d'accès à un tel traitement au Togo, un retour dans ce pays serait de nature à lui faire courir des risques graves ; en outre, les chances pour la famille de se réinsérer et d'y assurer sa survie quotidienne en seraient fortement amoindries. L'exécution du renvoi de la recourante n'apparaît donc pas raisonnablement exigible. Il y a lieu, en conséquence, de prononcer son admission provisoire, ainsi que celle de son mari et de ses enfants, en application du principe de l'unité de la famille rappelé à l'art. 44 al. 1 LAsi (cf. JICRA 1995 n° 24 consid. 10-11 p. 230-233) ; celle-ci, en principe d'une durée d'un an (art. 85 al. 1 LEtr), renouvelable si nécessaire, apparaît mieux à même d'écarter les risques sérieux qu'elle court actuellement en cas de retour dans son pays d'origine.</w:t>
      </w:r>
    </w:p>
    <w:p>
      <w:r>
        <w:rPr>
          <w:b/>
        </w:rPr>
        <w:t>E. 4</w:t>
      </w:r>
    </w:p>
    <w:p>
      <w:r>
        <w:t>En conséquence, le recours doit être admis et la décision attaquée annulée. L'autorité de première instance est donc invitée à prononcer l'admission provisoire des recourants et de leurs enfants.</w:t>
      </w:r>
    </w:p>
    <w:p>
      <w:r>
        <w:rPr>
          <w:b/>
        </w:rPr>
        <w:t>E. 5.1</w:t>
      </w:r>
    </w:p>
    <w:p>
      <w:r>
        <w:t>Le recours étant admis, il n'est pas perçu de frais ; la requête d'assistance judiciaire partielle est ainsi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l'absence de note de frais, le Tribunal fixe le montant de l'indemnité, sur la base des éléments du dossier de seconde instance (art. 14 al. 2 du règlement du 11 décembre 2006 concernant les frais, dépens et indemnités fixés par le Tribunal administratif fédéral [FITAF, RS 173.320.2]), à savoir un acte de recours, une écriture complémentaire, une réplique et la production de plusieurs rapports médicaux ; les dépens sont ainsi arrêtés à la somme globale de 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