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E-5833/2016 vom 16. Februar 2017</w:t>
      </w:r>
    </w:p>
    <w:p>
      <w:r>
        <w:t>Bundesverwaltungsgericht, 2017-02-16, DE</w:t>
      </w:r>
    </w:p>
    <w:p>
      <w:r>
        <w:rPr>
          <w:b/>
        </w:rPr>
        <w:t xml:space="preserve">Quelle: </w:t>
      </w:r>
      <w:r>
        <w:t>https://mcp.opencaselaw.ch/entscheid/bvger_E-5833_2016</w:t>
      </w:r>
    </w:p>
    <w:p>
      <w:r>
        <w:t>FR: TAF E-5833/2016 du 16 février 2017</w:t>
      </w:r>
    </w:p>
    <w:p>
      <w:r>
        <w:t>IT: TAF E-5833/2016 del 16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 Dass den Beschwerdeführenden mit Zwischenverfügung vom 27. September 2016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dass die von der Beschwerdeführerin dargelegten fluchtauslösenden Vorbringen widersprüchlich und somit unglaubhaft ausgefallen seien. Darüber hinaus sei die illegale Ausreise aus Eritrea (unbesehen von einer Glaubhaftigkeitsprüfung der Vorbringen) asylrechtlich unbeachtlich. Die Beschwerdeführerin habe einerseits angegeben, Leute aus der Einheit des Ehemannes seien zweimal bei ihr vorbeigekommen, um ihn zu suchen (vgl. Akten SEM A4 S. 12), andererseits habe sie angeführt, es habe drei solche Besuche gegeben (vgl. A20 F81 f.). In Bezug auf die angebliche Geldforderung habe die Beschwerdeführerin sodann in der BzP geltend gemacht, nach dem Besuch der Soldaten seien Leute der Gemeinde gekommen, um das Geld einzufordern. Es sei ihr gar ein Zahlungsplan angeboten worden. Die weiteren Male, als Leute der Gemeinde gekommen seien, sei sie jeweils nicht zuhause gewesen (vgl. A4 S. 12). In der Anhörung habe sie hierzu zunächst vorgebracht, sie sei im Juli 2011, als sie Lebensmittelcoupons habe abholen wollen, aufgefordert worden, die 50'000 Nakfa zu bezahlen (vgl. A20 F49). Später habe sie erklärt, es seien die Soldaten gewesen, welche sie bei deren letztem Besuch zur Bezahlung des Betrags aufgefordert hätten (vgl. A20 F120). Diese unterschiedlichen Darstellungen liessen den Schluss zu, dass die Vorbringen nicht den tatsächlichen Begebenheiten entsprächen. Der Erklärungsversuch für diese widersprüchlichen Vorbringen, sie habe sich zum Zeitpunkt der BzP in einer schwierigen Situation befunden, überzeuge nicht. Zur Asylrelevanz der illegalen Ausreise führte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Die Beschwerdeführerin habe weder den Nationaldienst verweigert noch sei sie desertiert. Sie habe folglich nicht gegen die Proclamation on National Service von 1995 verstossen. Auch sonst lägen keine Hinweise dafür vor, dass sie bei einer Rückkehr nach Eritrea ernsthafte Nachteile zu gewärtigen hätte.</w:t>
      </w:r>
    </w:p>
    <w:p>
      <w:r>
        <w:rPr>
          <w:b/>
        </w:rPr>
        <w:t>E. 3.6.1</w:t>
      </w:r>
    </w:p>
    <w:p>
      <w:r>
        <w:t>In der Beschwerde wird gerügt, das SEM habe die fluchtauslösenden Vorbringen in Verletzung von Bundesrecht zu Unrecht als unglaubhaft bezeichnet. Dieser Rüge ist nach Prüfung der Akten nicht zu folgen. In Übereinstimmung mit der Vorinstanz ist festzuhalten, dass die fluchtauslösenden Ausführungen zu unterschiedlich dargestellt werden, als dass sie geglaubt werden könnten. Es rechtfertigt sich an dieser Stelle, auf die Erwägungen des SEM zu verweisen. Insbesondere steht die klare Aussage anlässlich der BzB, die Leute von seiner Arbeit seien zwei Mal zu ihr gekommen (vgl. A4 S. 12), im Widerspruch zur Ausführung bei der Anhörung, sie seien drei Mal bei ihr vorbeigekommen (vgl. A20 F81 f.). Die Ausführung in der Beschwerde, in der Anhörung habe die Beschwerdeführerin präzisierend erklärt, sie habe sich beim zweiten der drei Besuche versteckt gehalten, vermag als Erklärung nicht zu überzeugen. Darüber hinaus gab die Beschwerdeführerin wiederum im Widerspruch zu diesen zwei Aussagen zu Beginn der Anhörung noch zu Protokoll, nachdem ihr Mann das Land verlassen habe, seien sie ständig zu ihr gekommen (vgl. A20 F48). Ebenso wenig erweist sich die in der Beschwerde angebotene Erklärung für die unterschiedlichen Darstellungsweisen im Zusammenhang mit der Geldforderung als überzeugend. So ist der Vorwurf, es fehle der Übersetzung beider Befragungen am notwendigen Niveau, um die zahlreichen protokollierten sprachlichen Ungenauigkeiten bei der Beurteilung der Glaubhaftigkeit der Vorbringen zu verwenden, nicht zu hören. Eine Durchsicht der Protokolle ergibt insbesondere auch in den Aussagen im Zusammenhang mit den vom SEM aufgeführten Ungereimtheiten keine übersetzerischen Unklarkeiten. Zudem erklärte die Beschwerdeführerin jeweils am Ende der Befragung respektive Anhörung das Protokoll mit ihrer Unterschrift als ihren Aussagen entsprechend. Auch die an der Anhörung anwesende Hilfswerkvertretung hatte nichts zu vermerken. Es erübrigt sich an dieser Stelle, noch näher auf die Ausführungen in der Beschwerde zur Frage der Glaubhaftigkeit einzugehen, da sie am Ergebnis nichts zu ändern vermögen.</w:t>
      </w:r>
    </w:p>
    <w:p>
      <w:r>
        <w:rPr>
          <w:b/>
        </w:rPr>
        <w:t>E. 3.6.2</w:t>
      </w:r>
    </w:p>
    <w:p>
      <w:r>
        <w:t>Die Frage der Zulässigkeit der Praxisänderung des SEM bezüglich der flüchtlingsrechtlichen Beurteilung der illegalen Ausreise aus Eritrea ist vom Bundesverwaltungsgericht in einem Koordinationsverfahren mittlerweile geklärt worden. Dabei kommt das Gericht zum Schluss, dass allein aufgrund einer illegalen Ausreise keine begründete Furcht vor asylrechtlich beachtlicher Verfolgung angenommen werden kann (ausführlich dazu Urteil des BVGer D-7898/2015 vom 30. Januar 2017, E. 4.6-5.1 [vgl. oben, E. 3.3]). Nachdem die Beschwerdeführerin neben der illegalen Ausreise keine zusätzlichen Anknüpfungspunkte für eine Verschärfung ihres Profils aufweist, ist vorliegend nicht von einer asylrechtlich beachtlichen Verfolgung auszugehen.</w:t>
      </w:r>
    </w:p>
    <w:p>
      <w:r>
        <w:rPr>
          <w:b/>
        </w:rPr>
        <w:t>E. 3.7</w:t>
      </w:r>
    </w:p>
    <w:p>
      <w:r>
        <w:t>Wie die Vorinstanz kommt das Gericht deshalb zum Schluss, dass die Beschwerdeführenden keine begründete Furcht vor ernsthaften Nachteilen im Sinne von Art. 3 AsylG geltend machen können. Zur Vermeidung von Wiederholungen ist auf die zutreffenden vorinstanzlichen Ausführungen sowie das oben erwähnte Koordinationsurteil des Bundesverwaltungsgerichts zu verweisen. Die Vorinstanz hat daher zu Recht die Flüchtlingseigenschaft der Beschwerdeführenden verneint und ihre Asylgesuche abgewiesen. Es besteht nach dem Gesagten keine Veranlassung für eine Rückweisung der Sache an die Vorinstanz.</w:t>
      </w:r>
    </w:p>
    <w:p>
      <w:r>
        <w:rPr>
          <w:b/>
        </w:rPr>
        <w:t>E. 4</w:t>
      </w:r>
    </w:p>
    <w:p>
      <w:r>
        <w:t>Lehnt das Staatssekretariat das Asylgesuch ab oder tritt es darauf nicht ein, so verfügt es in der Regel die Wegweisung aus der Schweiz.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5</w:t>
      </w:r>
    </w:p>
    <w:p>
      <w:r>
        <w:t>Aus diesen Erwägungen ergibt sich, dass die angefochtene Verfügung Bundesrecht nicht verletzt und den rechtserheblichen Sachverhalt richtig sowie vollständig feststellt (Art. 106 Abs. 1 AsylG). Die Beschwerde ist abzuweisen.Die von der Vorinstanz wegen Unzumutbarkeit des Vollzugs verfügte vorläufige Aufnahme bleibt dadurch unberührt.</w:t>
      </w:r>
    </w:p>
    <w:p>
      <w:r>
        <w:rPr>
          <w:b/>
        </w:rPr>
        <w:t>E. 6</w:t>
      </w:r>
    </w:p>
    <w:p>
      <w:r>
        <w:t>Bei diesem Ausgang des Verfahrens wären die Kosten den Beschwerdeführenden aufzuerlegen (Art. 63 Abs. 1 VwVG; Art. 1-3 des Reglements vom 21. Februar 2008 über die Kosten und Entschädigungen vor dem Bundesverwaltungsgericht [VGKE, SR 173.320.2]). Da ihnen mit Verfügung vom 27. September 2016 die unentgeltliche Prozessführung gewährt wurde, sind jedoch keine Verfahrenskosten zu erheben.</w:t>
      </w:r>
    </w:p>
    <w:p>
      <w:r>
        <w:rPr>
          <w:b/>
        </w:rPr>
        <w:t>E. 7</w:t>
      </w:r>
    </w:p>
    <w:p>
      <w:r>
        <w:t>Die Rechtsvertreterin wies in ihrer Kostennote vom 23. September 2016 bei einem Stundenansatz von Fr. 200.- und einem zeitlichen Aufwand von 8.00 Stunden einen totalen Aufwand von insgesamt Fr. 1'670.- (inklusive Auslagen) aus. Angesichts der Tatsache, dass sich die Rechtsvertreterin nicht als Anwältin ausgewiesen hat, ist der Stundenansatz auf Fr. 150.- zu reduzieren. Der Rechtsvertreterin ist somit für ihre Bemühungen zu Lasten des Gerichts ein amtliches Honorar in der Höhe von insgesamt Fr. 1'270.-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