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E-582/2015 vom 17. Februar 2015</w:t>
      </w:r>
    </w:p>
    <w:p>
      <w:r>
        <w:t>Bundesverwaltungsgericht, 2015-02-17, DE</w:t>
      </w:r>
    </w:p>
    <w:p>
      <w:r>
        <w:rPr>
          <w:b/>
        </w:rPr>
        <w:t xml:space="preserve">Quelle: </w:t>
      </w:r>
      <w:r>
        <w:t>https://mcp.opencaselaw.ch/entscheid/bvger_E-582_2015</w:t>
      </w:r>
    </w:p>
    <w:p>
      <w:r>
        <w:t>FR: TAF E-582/2015 du 17 février 2015</w:t>
      </w:r>
    </w:p>
    <w:p>
      <w:r>
        <w:t>IT: TAF E-582/2015 del 17 febbraio 2015</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Art. 83 Bst. d Ziff. 1 BGG). Als Verfügungsadressat ist der Beschwerdeführer zur Beschwerdeerhebung legitimiert. Auf die frist- und formgerecht eingereichte Beschwerde ist einzutreten (Art. 105 und 108 Abs. 1 AsylG; Art. 48 Abs. 1 sowie Art. 52 Abs. 1 VwVG).</w:t>
      </w:r>
    </w:p>
    <w:p>
      <w:r>
        <w:rPr>
          <w:b/>
        </w:rPr>
        <w:t>E. 2</w:t>
      </w:r>
    </w:p>
    <w:p>
      <w:r>
        <w:t>Aufgrund der Beschwerdebegründung und der Beschwerdeergänzung vom 4. Februar 2015, wonach der Beschwerdeführer zusätzlich zum bereits gestellten Begehren um Feststellung der Flüchtlingseigenschaft die unentgeltliche Rechtspflege beantragt, ist davon auszugehen, dass sich die Beschwerde lediglich gegen die Verneinung der Flüchtlingseigenschaft sowie implizit gegen die Anordnung des Wegweisungsvollzugs richtet. Die Ablehnung des Asylgesuchs ist somit unangefochten in Rechtskraft erwachsen und die Wegweisung als solche ist auch nicht zu überprüfen.</w:t>
      </w:r>
    </w:p>
    <w:p>
      <w:r>
        <w:rPr>
          <w:b/>
        </w:rPr>
        <w:t>E. 3</w:t>
      </w:r>
    </w:p>
    <w:p>
      <w:r>
        <w:t>Das Bundesverwaltungsgericht überprüft die angefochtene Verfügung auf Verletzung von Bundesrecht und unrichtige oder unvollständige Feststellung des rechtserheblichen Sachverhalts hin (Art. 106 Abs. 1 AsylG).</w:t>
      </w:r>
    </w:p>
    <w:p>
      <w:r>
        <w:rPr>
          <w:b/>
        </w:rPr>
        <w:t>E. 4</w:t>
      </w:r>
    </w:p>
    <w:p>
      <w:r>
        <w:t>Die Beschwerde erweist sich als offensichtlich unbegründet und ist im Verfahren einzelrichterlicher Zuständigkeit mit Zustimmung eines zweiten Richters (Art. 111 Bst. e AsylG), ohne Weiterungen und summarisch begründet zu behandeln (Art. 111a Abs. 1 und 2 AsylG).</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5.2</w:t>
      </w:r>
    </w:p>
    <w:p>
      <w:r>
        <w:t>Wer die Flüchtlingseigenschaft geltend macht, muss sie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Entscheid damit, ihr seien aufgrund der äusserst unsubstanziierten und teilweise offensichtlich tatsachenwidrigen Aussagen an der Kurzbefragung bereits Zweifel an der angegebenen Herkunft, mithin auch an der angegeben chinesischen Staatsangehörigkeit und der illegalen Ausreise aus der Volksrepublik China gekommen, weshalb sie einen externen Experten mit einem Sprach- und Herkunftstest beauftragt habe, welcher ergeben habe, dass die Sozialisation des Beschwerdeführers sehr wahrscheinlich ausserhalb der Volksrepublik Chinas in der exiltibetischen Gemeinschaft stattgefunden habe. Anlässlich des rechtlichen Gehörs habe er den Feststellungen des Experten insgesamt nichts Nachvollziehbares entgegensetzen können. Ausserdem habe er keine Bemühungen unternommen, seine Identität mit rechtsgenüglichen Identitätspapieren oder zumindest mit anderen Dokumenten zu belegen. Seine Reisewegschilderungen seien nicht nachvollziehbar, stereotyp und ohne nähere Auskünfte zur Reise von Nepal bis in die Schweiz geblieben. Durch die Feststellung, dass er nicht in dem behaupteten geografischen Raum gelebt habe, werde den geltend gemachten Asyl- und Ausreisegründen jegliche Grundlage entzogen. Ausserdem seien seine Aussagen völlig substanzarm und teilweise widersprüchlich. Vor diesem Hintergrund sei davon auszugehen, dass er einen asylrelevanten Sachverhalt konstruiere. Nach dem Gesagten hielten seine Vorbringen den Anforderungen an das Glaubhaftmachen gemäss Art. 7 AsylG nicht stand. Im Lichte der Praxis des Bundesverwaltungsgerichts (vgl. BVGE 2014/12 E. 5.8-5.10) sei nach dem Gesagten nicht davon auszugehen, dass es sich beim Beschwerdeführer um einen chinesischen Staatsangehörigen handle.</w:t>
      </w:r>
    </w:p>
    <w:p>
      <w:r>
        <w:rPr>
          <w:b/>
        </w:rPr>
        <w:t>E. 6.2</w:t>
      </w:r>
    </w:p>
    <w:p>
      <w:r>
        <w:t>Auf Beschwerdeebene hält der Beschwerdeführer an den im erstinstanzlichen Verfahren vorgebrachten Vorfluchtgründen nicht ausdrücklich fest, bekräftigt aber seine geltend gemachte illegale Ausreise aus der Volksrepublik China und bietet für vom LINGUA-Experten monierte Unstimmigkeiten Erklärungen an. So erklärt er etwa seine fehlenden Chinesisch-Kenntnisse damit, als Akt des Widerstands sei sein Heimatdorf dagegen, Chinesisch zu lernen.</w:t>
      </w:r>
    </w:p>
    <w:p>
      <w:r>
        <w:rPr>
          <w:b/>
        </w:rPr>
        <w:t>E. 6.3</w:t>
      </w:r>
    </w:p>
    <w:p>
      <w:r>
        <w:t>Der Vorinstanz ist darin zuzustimmen, dass die Aussagen des Beschwerdeführers zu den Vorfluchtgründen substanzarm und teilweise widersprüchlich sind und damit den Anforderungen von Art. 7 AsylG an das Glaubhaftmachen nicht standhalten, zumal der Beschwerdeführer auf Beschwerdeebene daran nicht festhält und insbesondere für die vorinstanzlich monierten Widersprüche keine Erklärungen anbietet. Mit dem LINGUA-Gutachten wird seinen Vorbringen - sowohl bezüglich der Vor- als auch der insbesondere auf Beschwerdeebene geltend gemachten subjektiven Nachfluchtgründe - die Grundlage entzogen, wodurch auch seine persönliche Glaubwürdigkeit untergraben wird. Das LINGUA-Gutachten ist schlüssig und nachvollziehbar. Die Entgegnungen des Beschwerdeführers sind nicht stichhaltig. Schwer wiegt insbesondere, dass er gemäss Gutachten eine exiltibetische Spielart des Lhasa-Dialekts spricht und über keine nennenswerten Chinesisch-Kenntnisse verfügt. Sein Einwand, sein Heimatdorf habe es aus politischen Gründen abgelehnt, Chinesisch zu lernen, vermag nicht zu überzeugen. Unter diesen Umständen kann seine geltend gemachte Ausreise (ob legal oder illegal) aus China als solche nicht geglaubt werden. Demzufolge ist, wie die Vorinstanz zu Recht festgestellt und zutreffend begründet hat, das Vorliegen sowohl von Vorfluchtgründen als auch von subjektiven Nachfluchtgründen im Sinne von Art. 54 AsylG zu verneinen, zumal durch die Verheimlichung und Verschleierung der wahren Herkunft auch die Prüfung der Flüchtlingseigenschaft des Beschwerdeführers in Bezug auf sein effektives Heimat- oder Herkunftsland verunmöglicht worden ist (vgl. dazu BVGE 2014/12 E. 5.9). Entgegen der Beschwerde vermag auch die politische Aktivität der tibetischen Gemeinschaft in der Schweiz die Flüchtlingseigenschaft nicht zu begründen. Die Vorinstanz hat nach dem Gesagten die Flüchtlingseigenschaft zu Recht verneint.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seinen Heimat- oder Herkunftsstaat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zumal er, wie die Vorinstanz zu Recht ausgeführt hat, die Folgen seiner unglaubhaften Identitätsangabe und der Unglaubhaftigkeit seines Sachverhaltsvortrags zu tragen hat, indem vermutungsweise davon auszugehen ist, einer Wegweisung in seinen tatsächlichen Heimat- oder Herkunftsstaat stünden keine völkerrechtlichen Vollzugshindernisse entgegen (vgl. dazu BVGE 2014/12 E. 6).</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Vorliegend bestehen keine individuellen Unzumutbarkeitsgründe, zumal es sich beim Beschwerdeführer um einen jungen, ledigen und gesunden Mann handelt. Was die allgemeine Lage in seinem Heimat- oder Herkunftsstaat betrifft, so gilt, was in Erwägung 7.3 ausgeführt wurde, entsprechend.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Die gestellten Rechtsbegehren erweisen sich als aussichtslos. Das Gesuch um unentgeltliche Rechtspflege im Sinne von Art. 65 Abs. 1VwVG sowie Art. 110a Abs. 1 Bst. a AsylG ist daher, einer allfälligen prozessualen Bedürftigkeit ungeachtet, abzuweisen. Das Gesuch um Verzicht auf die Erhebung eines Kostenvorschusses ist mit dem vorliegenden Entscheid gegenstandslos geworden.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