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E-5828/2011 vom 17. September 2012</w:t>
      </w:r>
    </w:p>
    <w:p>
      <w:r>
        <w:t>Bundesverwaltungsgericht, 2012-09-17, DE</w:t>
      </w:r>
    </w:p>
    <w:p>
      <w:r>
        <w:rPr>
          <w:b/>
        </w:rPr>
        <w:t xml:space="preserve">Quelle: </w:t>
      </w:r>
      <w:r>
        <w:t>https://mcp.opencaselaw.ch/entscheid/bvger_E-5828_2011</w:t>
      </w:r>
    </w:p>
    <w:p>
      <w:r>
        <w:t>FR: TAF E-5828/2011 du 17 septembre 2012</w:t>
      </w:r>
    </w:p>
    <w:p>
      <w:r>
        <w:t>IT: TAF E-5828/2011 del 17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(Art. 37 VGG i.V.m. Art. 50 Abs. 1 und Art. 52 VwVG). Die Beschwerdeführerin hat am Verfahren vor der Vorinstanz teilgenommen, ist durch die angefochtene Verfügung besonders berührt und hat ein schutzwürdiges Interesse an deren Aufhebung beziehungsweise Änderung. Folglich ist sie zur Einreichung der Beschwerde legitimiert (Art. 108 Abs. 1 AsylG, Art. 105 AsylG i.V.m. Art. 37 VGG und Art. 48 Abs. 1 sowie Art. 52 VwVG). Auf die Beschwerde ist somit einzutreten.</w:t>
      </w:r>
    </w:p>
    <w:p>
      <w:r>
        <w:rPr>
          <w:b/>
        </w:rPr>
        <w:t>E. 1.3</w:t>
      </w:r>
    </w:p>
    <w:p>
      <w:r>
        <w:t>Das Verfahren vor dem Bundesverwaltungsgericht richtet sich nach dem VwVG, soweit das VGG und das AsylG nichts anderes bestimmen (Art. 37 VGG und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Beschwerdeführerin macht keine eigene Verfolgungsgeschichte, infolge welcher sie Nachstellungen in ihrem Heimatland zu befürchten hätte, geltend, sondern stützt ihre Asylgründe auf die angebliche Gefährdung durch Reflexverfolgung - sie sei wegen ihres Ehemannes behelligt worden - ab. Somit ist der Frage nachzugehen, ob die Beschwerdeführerin aufgrund der geltend gemachten Reflexverfolgung im Zeitpunkt des Verlassens ihres Heimatlandes im Fokus der syrischen Sicherheitskräfte stand und Verfolgung auf syrischem Territorium zu befürchten hatte beziehungsweise künftig zu befürchten hat.</w:t>
      </w:r>
    </w:p>
    <w:p>
      <w:r>
        <w:rPr>
          <w:b/>
        </w:rPr>
        <w:t>E. 4.1</w:t>
      </w:r>
    </w:p>
    <w:p>
      <w:r>
        <w:t>Staatliche Repressalien gegen Familienangehörige von politischen Aktivisten können als sogenannte Reflexverfolgung flüchtlingsrechtlich erheblich im Sinne von Art. 3 AsylG sein. Zu bewerten ist die Wahrscheinlichkeit, wegen eines politisch verfolgten Angehörigen selber ebenfalls gezielte behördliche Verfolgungsmassnahmen befürchten zu müssen. Die Wahrscheinlichkeit einer Reflexverfolgung und deren Intensität hängt stark von den konkreten Umständen des Einzelfalls (sowie von länderspezifischen Gegebenheiten) ab.</w:t>
      </w:r>
    </w:p>
    <w:p>
      <w:r>
        <w:rPr>
          <w:b/>
        </w:rPr>
        <w:t>E. 4.2</w:t>
      </w:r>
    </w:p>
    <w:p>
      <w:r>
        <w:t>Wie das BFM zutreffend feststellte, gab die Beschwerdeführerin anlässlich der EVZ-Befragung nicht den geringsten Hinweis auf Schwierigkeiten mit den syrischen Behörden, sondern führte aus, ihr Heimatland lediglich deshalb verlassen zu haben, weil sich ihr Ehemann in der Schweiz befinde. Auch auf Nachfrage hin, ob sie nie festgenommen, verhört oder nach ihr gesucht worden sei, brachte die Beschwerdeführerin keine weiteren Gründe für ihr Asylgesuch vor (vgl. B16/9 S. 5). Im Rahmen ihrer Anhörung gab sie demgegenüber zu Protokoll, die syrischen Behörden würden zwar nicht nach ihr suchen, sie habe ihr Heimatland jedoch bereits vor längerer Zeit verlassen wollen, weil ein gewisser Druck auf sie und die Familie ausgeübt worden sei. Die Behörden seien mehrmals ohne Anmeldung in ihr Haus gestürmt oder hätten sie an ihrem Arbeitsort aufgesucht, um sich nach dem Verbleib ihres Ehemannes zu erkundigen. Zudem habe sie manchmal das Gefühl gehabt, unterwegs zur Arbeit oder im Dorf beschattet zu werden (vgl. B28/6 S. 3). Dem BFM ist beizupflichten, wenn es ausführt, die Tatsache, dass die Beschwerdeführerin die in der einlässlichen Anhörung vorgebrachten Befragungen seitens der syrischen Behörden nicht bereits anlässlich der Erstbefragung summarisch erwähnt habe, begründe Zweifel an der vorgetragenen Sachverhaltsdarstellung. Weiter ist angesichts der zentralen Bedeutung für die daraus abgeleitete Reflexverfolgung nicht nachvollziehbar, weshalb die Beschwerdeführerin weder anlässlich des vorinstanzlichen Verfahrens noch auf Beschwerdeebene konkret ausführte, weswegen sich die syrischen Behörden für ihren Ehemann interessieren würden. Da überdies im Asylverfahren des Ehemannes das Bestehen einer begründeten Furcht vor Verfolgung im Sinne von Art. 3 AsylG für den Zeitpunkt seiner Ausreise verneint wurde, fehlt es an der Grundlage zur Annahme, die Beschwerdeführerin sei im Heimatland einer Reflexverfolgung ausgesetzt. Im Übrigen ist festzuhalten, dass der geltend gemachte Umstand, die Beschwerdeführerin erhalte aufgrund der angeblichen Sympathien ihrer Familie für die PKK keine adäquate Arbeitsstelle, im asylrechtlichen Kontext irrelevant und mithin nicht zu berücksichtigen ist.</w:t>
      </w:r>
    </w:p>
    <w:p>
      <w:r>
        <w:rPr>
          <w:b/>
        </w:rPr>
        <w:t>E. 4.3</w:t>
      </w:r>
    </w:p>
    <w:p>
      <w:r>
        <w:t>Schliesslich ist in Bezug auf das Gesuch um Familienasyl Folgendes festzuhalten: Das Asylgesuch des Ehemannes der Beschwerdeführerin wird mit heutigem Datum rechtskräftig abgewiesen und die Verfügung des BFM betreffend Verneinung der Flüchtlingseigenschaft sowie Verweigerung des Asyls vom Bundesverwaltungsgericht bestätigt (vgl. Verfahren E-4606/2010). Damit fehlt es vorliegend an der Grundlage für einen Einbezug in die Flüchtlingseigenschaft des Ehemannes gemäss Art. 51 Abs. 1 AsylG.</w:t>
      </w:r>
    </w:p>
    <w:p>
      <w:r>
        <w:rPr>
          <w:b/>
        </w:rPr>
        <w:t>E. 4.4</w:t>
      </w:r>
    </w:p>
    <w:p>
      <w:r>
        <w:t>Folglich hat die Vorinstanz zu Recht und mit zutreffender Begründung die Flüchtlingseigenschaft der Beschwerdeführerin verneint und ihr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EMARK 2001 Nr. 21). Auch diesbezüglich ist die angefochtene Verfügung zu bestätigen.</w:t>
      </w:r>
    </w:p>
    <w:p>
      <w:r>
        <w:rPr>
          <w:b/>
        </w:rPr>
        <w:t>E. 6</w:t>
      </w:r>
    </w:p>
    <w:p>
      <w:r>
        <w:t>Eine Erörterung von Wegweisungsvollzugshindernissen kann unterbleiben, nachdem das BFM die vorläufige Aufnahme der Beschwerdeführerin wegen Unzumutbarkeit des Wegweisungsvollzuges angeordnet hat.</w:t>
      </w:r>
    </w:p>
    <w:p>
      <w:r>
        <w:rPr>
          <w:b/>
        </w:rPr>
        <w:t>E. 7</w:t>
      </w:r>
    </w:p>
    <w:p>
      <w:r>
        <w:t>Aus den vorstehenden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Im Verfahren des Ehemannes der Beschwerdeführerin ergeht mit heutigem Datum und im selben Spruchgremium ebenfalls ein Urteil. Das Gesuch um Verfahrensvereinigung ist demnach obsolet geworden.</w:t>
      </w:r>
    </w:p>
    <w:p>
      <w:r>
        <w:rPr>
          <w:b/>
        </w:rPr>
        <w:t>E. 9.1</w:t>
      </w:r>
    </w:p>
    <w:p>
      <w:r>
        <w:t>Bei diesem Ausgang des Verfahrens wären die Kosten in der Höhe von Fr. 600.- (Art. 1 - 3 des Reglements vom 21. Februar 2008 über die Kosten und Entschädigungen vor dem Bundesverwaltungsgericht [VGKE, SR 173.320.2]) der Beschwerdeführerin aufzuerlegen (Art. 63 Abs. 1 VwVG).</w:t>
      </w:r>
    </w:p>
    <w:p>
      <w:r>
        <w:rPr>
          <w:b/>
        </w:rPr>
        <w:t>E. 9.2</w:t>
      </w:r>
    </w:p>
    <w:p>
      <w:r>
        <w:t>Nachdem indessen das Bundesverwaltungsgericht das Gesuch um Gewährung der unentgeltlichen Prozessführung mit Verfügung vom 2. November 2011 gutgeheissen hat und aus den Akten hervorgeht, dass die Beschwerdeführerin auch weiterhin als bedürftig gelten muss,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