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E-5824/2015 vom 24. März 2017</w:t>
      </w:r>
    </w:p>
    <w:p>
      <w:r>
        <w:t>Bundesverwaltungsgericht, 2017-03-24, DE</w:t>
      </w:r>
    </w:p>
    <w:p>
      <w:r>
        <w:rPr>
          <w:b/>
        </w:rPr>
        <w:t xml:space="preserve">Quelle: </w:t>
      </w:r>
      <w:r>
        <w:t>https://mcp.opencaselaw.ch/entscheid/bvger_E-5824_2015</w:t>
      </w:r>
    </w:p>
    <w:p>
      <w:r>
        <w:t>FR: TAF E-5824/2015 du 24 mars 2017</w:t>
      </w:r>
    </w:p>
    <w:p>
      <w:r>
        <w:t>IT: TAF E-5824/2015 del 24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der Asylpunkt, die Flüchtlingseigenschaft und die Wegweisung.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4.1</w:t>
      </w:r>
    </w:p>
    <w:p>
      <w:r>
        <w:t>Die Vorinstanz kommt in der angefochtenen Verfügung zum Schluss, der Beschwerdeführer erfülle die Voraussetzungen zur Anerkennung als Flüchtling gemäss Art. 3 AsylG nicht. Der Beschwerdeführer habe im Sudan freiwillig und persönlich Kontakt zu den heimatlichen Behörden aufgenommen. Durch dieses Verhalten habe er gezeigt, dass er selbst nicht von einer asylrechtlich relevanten Verfolgung ausgegangen sei, ansonsten er kaum das Risiko eines persönlichen Erscheinens auf der Botschaft eingegangen wäre. Die Botschaftsbeamten hätten ihm zwar Fragen gestellt, ihm aber seine Behauptung - bereits im Jahr 2000 ausgereist zu sein - ohne Weiteres geglaubt und ihm weder Vorwürfe gemacht noch ihn bedroht. Angesichts seines Alters zum Zeitpunkt der Antragstellung ([...] Jahre) sei jedoch anzunehmen, dass den Behörden klar gewesen sei, dass er Eritrea wegen des Nationaldienstes verlassen habe. Da ihm die Behörden dennoch eine Identitätskarte ausgestellt hätten, hätten sie signalisiert, dass sie kein Verfolgungsinteresse an ihm hatten. Sein Antrag sei in Asmara überprüft worden. Die dortigen Behörden hätten über seine genauen Angaben verfügt, weshalb weder von einer subjektiv noch von einer objektiv begründeten Furcht vor zukünftiger Verfolgung auszugehen sei.</w:t>
      </w:r>
    </w:p>
    <w:p>
      <w:r>
        <w:rPr>
          <w:b/>
        </w:rPr>
        <w:t>E. 4.2</w:t>
      </w:r>
    </w:p>
    <w:p>
      <w:r>
        <w:t>Der Beschwerdeführer rügt in der Rechtsmitteleingabe, die Vorinstanz habe ihn zu Unrecht nicht als Flüchtling anerkannt. Zur Begründung führt er aus, die Tatsache, dass die eritreischen Behörden ihm eine Identitätskarte ausgestellt hätten, sei kein Grund für die Verweigerung von Asyl. Es sei allgemein bekannt, dass die eritreische Regierung ein grosses Interesse daran habe, allen Staatsangehörigen Papiere auszustellen, da sie dadurch Steuern und Geld eintreiben könne. Mit der Ausstellung von Papieren sei keine Amnestie verbunden, die Person müsse bei einer Rückkehr weiterhin mit einer Bestrafung rechnen. Bei einer Rückkehr bestehe die Gefahr einer unverhältnismässig strengen Bestrafung. Er habe sich nicht unter den Schutz des eritreischen Staates gestellt. Ihm sei bekannt gewesen, dass die Botschaft Identitätspapiere ausstelle, ohne abzuklären, wann und auf welchem Weg eine Person aus Eritrea ausgereist sei. Zudem habe er das Regime nicht unterstützt und daher auch keinen Reisepass beantragt, wofür er die 2% Steuer hätte zahlen müssen. Schliesslich sei ihm, selbst wenn ihm die Zwangsrekrutierung nicht geglaubt würde, aufgrund seiner illegalen Ausreise die Flüchtlingseigenschaft anzuerkennen.</w:t>
      </w:r>
    </w:p>
    <w:p>
      <w:r>
        <w:rPr>
          <w:b/>
        </w:rPr>
        <w:t>E. 4.3</w:t>
      </w:r>
    </w:p>
    <w:p>
      <w:r>
        <w:t>Die Vorinstanz führt in der Vernehmlassung vom 11. Dezember 2015 aus, gemäss gängiger Praxis hätte der Beschwerdeführer mit beachtlicher Wahrscheinlichkeit aufgrund der illegalen Ausreise aus Eritrea begründete Furcht vor Verfolgung gehabt und hätte deshalb gegebenenfalls als Flüchtling anerkannt werden können. Mit seiner freiwilligen Kontaktaufnahme und der Reaktion und Aktivität der eritreischen Behörden, sei die Wahrscheinlichkeit einer begründeten Furcht vor Verfolgung indes nicht mehr als beachtlich einzustufen.</w:t>
      </w:r>
    </w:p>
    <w:p>
      <w:r>
        <w:rPr>
          <w:b/>
        </w:rPr>
        <w:t>E. 4.4</w:t>
      </w:r>
    </w:p>
    <w:p>
      <w:r>
        <w:t>In der Replik vom 24. Dezember 2015 hält der Beschwerdeführer unter Wiederholung seiner Ausführungen an seinem Standpunkt fest.</w:t>
      </w:r>
    </w:p>
    <w:p>
      <w:r>
        <w:rPr>
          <w:b/>
        </w:rPr>
        <w:t>E. 5.1</w:t>
      </w:r>
    </w:p>
    <w:p>
      <w:r>
        <w:t>Der Beschwerdeführer macht geltend, er habe das Heimatland illegal verlassen, um nicht Militärdienst leisten zu müssen.</w:t>
      </w:r>
    </w:p>
    <w:p>
      <w:r>
        <w:rPr>
          <w:b/>
        </w:rPr>
        <w:t>E. 5.2</w:t>
      </w:r>
    </w:p>
    <w:p>
      <w:r>
        <w:t>Für die Beurteilung des vorliegenden Falles ist die Rechtslage und Praxis im Zeitpunkt des Urteils massgebend. Das Bundesverwaltungsgericht ging in seiner bis 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(Referenzurteil des BVGer D-7898/2015 vom 30. Januar 2017 E. 5.2). Ob eine drohende Einziehung in den Nationaldienst unter dem Blickwinkel von Art. 3 EMRK und Art. 4 EMRK relevant sein könnte, betreffe die Frage der Zulässigkeit bzw. Zumutbarkeit des Wegweisungsvollzugs.</w:t>
      </w:r>
    </w:p>
    <w:p>
      <w:r>
        <w:rPr>
          <w:b/>
        </w:rPr>
        <w:t>E. 5.3</w:t>
      </w:r>
    </w:p>
    <w:p>
      <w:r>
        <w:t>Was die Anerkennung der Flüchtlingseigenschaft betrifft, muss eine asylsuchende Person zusätzliche Anknüpfungspunkte nachweisen oder zumindest glaubhaft machen (Art. 7 Abs. 1 AsylG), die sie in den Augen der heimatlichen Behörden als missliebige Person erscheinen lassen. Der Beschwerdeführer weist keine solchen zusätzlichen Anknüpfungspunkte für eine Verschärfung seines Profils auf. Er hatte vor seiner Ausreise keinen Behördenkontakt betreffend einen allfälligen Einzug in den Nationaldienst, so dass er nicht als Deserteur oder Refraktär gelten kann. Andere Gründe, welche ihn in den Augen des Regimes als missliebige Person erscheinen lassen könnten, sind ebenfalls nicht ersichtlich. Die illegale Ausreise allein vermag keine begründete Furcht vor einer zukünftigen Verfolgung zu begründen. Nachdem der Beschwerdeführer aufgrund der geänderten Praxis die Voraussetzungen zur Anerkennung als Flüchtling nicht erfüllt, erübrigt es sich zu prüfen, ob er sich mit der Ausstellung einer Identitätskarte durch die eritreische Botschaft im Sudan unter den Schutz seines Heimatstaates gestellt hat.</w:t>
      </w:r>
    </w:p>
    <w:p>
      <w:r>
        <w:rPr>
          <w:b/>
        </w:rPr>
        <w:t>E. 5.4</w:t>
      </w:r>
    </w:p>
    <w:p>
      <w:r>
        <w:t>Zusammenfassend ist festzuhalten, dass der Beschwerdeführer die Flüchtlingseigenschaft nicht erfüllt und die Vorinstanz das Asylgesuch im Ergebnis zu Recht abgewiesen hat.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Der Vollzug der Wegweisung wurde zufolge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rechtserheblichen Sachverhalt richtig sowie vollständig feststellt (Art. 106 Abs. 1 AsylG). Für eine Rückweisung der Sache an die Vorinstanz besteht nach dem Gesagten kein Anlass. Die Beschwerde ist abzuweisen.</w:t>
      </w:r>
    </w:p>
    <w:p>
      <w:r>
        <w:rPr>
          <w:b/>
        </w:rPr>
        <w:t>E. 9.1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19. November 2015 in gleicher Höhe geleistete Kostenvorschuss wird zur Bezahlung der Verfahrenskosten verwendet.</w:t>
      </w:r>
    </w:p>
    <w:p>
      <w:r>
        <w:rPr>
          <w:b/>
        </w:rPr>
        <w:t>E. 9.2</w:t>
      </w:r>
    </w:p>
    <w:p>
      <w:r>
        <w:t>Infolge Unterliegens ist das Gesuch des Beschwerdeführers um Parteientschädigung abzuweisen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