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E-5824/2011 vom 24. November 2011</w:t>
      </w:r>
    </w:p>
    <w:p>
      <w:r>
        <w:t>Bundesverwaltungsgericht, 2011-11-24, DE</w:t>
      </w:r>
    </w:p>
    <w:p>
      <w:r>
        <w:rPr>
          <w:b/>
        </w:rPr>
        <w:t xml:space="preserve">Quelle: </w:t>
      </w:r>
      <w:r>
        <w:t>https://mcp.opencaselaw.ch/entscheid/bvger_E-5824_2011</w:t>
      </w:r>
    </w:p>
    <w:p>
      <w:r>
        <w:t>FR: TAF E-5824/2011 du 24 novembre 2011</w:t>
      </w:r>
    </w:p>
    <w:p>
      <w:r>
        <w:t>IT: TAF E-5824/2011 del 24 novembre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und das BFM zu den Vorinstanzen im Sinne von Art. 33 VGG gehört, ist das Bundesverwaltungsgericht zur Beurteilung der Beschwerde zuständig. Auf dem Gebiet des Asyls entscheidet das Bundesverwaltungsgericht in der Regel - wie auch vorliegend - endgültig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oder Änderung, weshalb er zur Beschwerde legitimiert ist (Art. 48 Abs. 1 VwVG).</w:t>
      </w:r>
    </w:p>
    <w:p>
      <w:r>
        <w:rPr>
          <w:b/>
        </w:rPr>
        <w:t>E. 1.3</w:t>
      </w:r>
    </w:p>
    <w:p>
      <w:r>
        <w:t>Die Beschwerdefrist (Art. 108 Abs. 2 AsylG) und die Anforderungen an die Beschwerdeschrift (Art. 52 Abs. 1 VwVG) sind gewahrt. Die übrigen Sachurteilsvoraussetzungen sind gegeben. Auf die Beschwerde ist daher einzutreten.</w:t>
      </w:r>
    </w:p>
    <w:p>
      <w:r>
        <w:rPr>
          <w:b/>
        </w:rPr>
        <w:t>E. 2</w:t>
      </w:r>
    </w:p>
    <w:p>
      <w:r>
        <w:t>Die Beschwerde erweist sich als offensichtlich unbegründet und ist im Verfahren einzelrichterlicher Zuständigkeit mit Zustimmung eines zweiten Richters oder einer zweiten Richterin (Art. 111 lit. e des Asylgesetzes vom 26. Juni 1998 [AsylG, SR 142.31])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34 Abs. 2 Bst. d AsylG).</w:t>
      </w:r>
    </w:p>
    <w:p>
      <w:r>
        <w:rPr>
          <w:b/>
        </w:rPr>
        <w:t>E. 3.2</w:t>
      </w:r>
    </w:p>
    <w:p>
      <w:r>
        <w:t>Aufgrund eines EURODAC-Eintrages vom 15. Mai 2011 (illegaler Grenzübertritt am 9. Mai 2011) und des Umstandes, dass Italien dem Aufnahmegesuch des BFM vom 24. Oktober 2011 mit Schreiben vom 3. November 20011 zustimmte, nahm das BFM zur Recht an, dass Italien für die Durchführung des Asylgesuchs zuständig ist (Art. 10 Abs. 1 und Art. 19 Abs. 1 der Verordnung [EG] Nr. 343/2003 des Rates vom 18. Februar 2003 zur Festlegung der Kriterien und Verfahren zur Bestimmung des Mitgliedstaats, der für die Prüfung eines von einem Drittstaatsangehörigen in einem Mitgliedstaat gestellten Asylantrags zuständig ist [Dublin-II-VO]).</w:t>
      </w:r>
    </w:p>
    <w:p>
      <w:r>
        <w:rPr>
          <w:b/>
        </w:rPr>
        <w:t>E. 3.3</w:t>
      </w:r>
    </w:p>
    <w:p>
      <w:r>
        <w:t>Die Schweiz kann nach Art. 3 Abs. 2 Dublin-II-VO ein Asylgesuch prüfen, auch wenn sie nach den in dieser Verordnung vorgesehenen Kriterien nicht für die Prüfung zuständig ist. Diese Bestimmung ist nicht direkt anwendbar, sondern kann nur in Verbindung mit einer Norm des nationalen oder internationalen Rechts angerufen werden (BVGE 2010/45 E. 5).</w:t>
      </w:r>
    </w:p>
    <w:p>
      <w:r>
        <w:rPr>
          <w:b/>
        </w:rPr>
        <w:t>E. 3.4</w:t>
      </w:r>
    </w:p>
    <w:p>
      <w:r>
        <w:t>Der Beschwerdeführer bringt lediglich vor, er habe in Italien kein Asylgesuch eingereicht und dort keine Arbeit gefunden. Italien ist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Weder den Akten noch den Vorbringen des Beschwerdeführers lassen sich konkrete Hinweise dafür entnehmen, dass sich Italien im vorliegenden Fall nicht an seine völkerrechtlichen Verpflichtungen hält. Damit liegen weder Anhaltspunkte für eine Verletzung menschenrechtlicher Völkerrechtsnormen durch Italien noch humanitäre Gründe nach Art. 29a Abs. 3 der Asylverordnung 1 vom 11. August 1999 über Verfahrensfragen (AsylV 1, SR 142.311) vor, die für einen Selbsteintritt im Sinne von Art. 3 Abs. 2 Dublin-II-VO sprechen würden. Das BFM ist damit zu Recht in Anwendung von Art. 34 Abs. 2 Bst. d AsylG auf das Asylgesuch nicht eingetreten.</w:t>
      </w:r>
    </w:p>
    <w:p>
      <w:r>
        <w:rPr>
          <w:b/>
        </w:rPr>
        <w:t>E. 4.1</w:t>
      </w:r>
    </w:p>
    <w:p>
      <w:r>
        <w:t>Gemäss Art. 44 Abs. 1 AsylG verfügt das Bundesamt in der Regel die Wegweisung aus der Schweiz und ordnet den Vollzug an, wenn es das Asylgesuch ablehnt oder darauf nicht eintritt. Die Anordnung der Wegweisung ist nicht zu beanstanden, weil der Beschwerdeführer weder über eine ausländerrechtliche Aufenthaltsbewilligung noch über einen Anspruch auf Erteilung einer solchen verfügt (Art. 44 Abs. 1 AsylG; BVGE 2009/50 E. 9).</w:t>
      </w:r>
    </w:p>
    <w:p>
      <w:r>
        <w:rPr>
          <w:b/>
        </w:rPr>
        <w:t>E. 4.2</w:t>
      </w:r>
    </w:p>
    <w:p>
      <w:r>
        <w:t>Im Rahmen des Dublin-Verfahrens, bei dem es sich um ein Überstellungsverfahren in den für die Prüfung des Asylgesuchs zuständigen Staat handelt, bleibt systembedingt kein Raum für Ersatzmassnahmen im Sinne von Art. 44 Abs. 2 AsylG i.V.m. Art. 83 Abs. 1 des Bundesgesetzes vom 16. Dezember 2005 über die Ausländerinnen und Ausländer (AuG, SR 142.20). Eine entsprechende Prüfung muss soweit notwendig bereits im Rahmen des Nichteintretensentscheides stattfinden. In diesem Sinne hat das BFM den Vollzug der Wegweisung nach Italien zu Recht als zulässig, zumutbar und möglich bezeichnet.</w:t>
      </w:r>
    </w:p>
    <w:p>
      <w:r>
        <w:rPr>
          <w:b/>
        </w:rPr>
        <w:t>E. 5</w:t>
      </w:r>
    </w:p>
    <w:p>
      <w:r>
        <w:t>Aus diesen Erwägungen ergibt sich, dass die angefochtene Verfügung kein Bundesrecht verletzt, den rechtserheblichen Sachverhalt richtig und vollständig feststellt und angemessen ist (Art. 106 AsylG). Die Beschwerde ist abzuweisen.</w:t>
      </w:r>
    </w:p>
    <w:p>
      <w:r>
        <w:rPr>
          <w:b/>
        </w:rPr>
        <w:t>E. 6</w:t>
      </w:r>
    </w:p>
    <w:p>
      <w:r>
        <w:t>Bei diesem Ausgang des Verfahrens hat der Beschwerdeführer die Kosten des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