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E-581/2010 vom 9. Februar 2010</w:t>
      </w:r>
    </w:p>
    <w:p>
      <w:r>
        <w:t>Bundesverwaltungsgericht, 2010-02-09, DE</w:t>
      </w:r>
    </w:p>
    <w:p>
      <w:r>
        <w:rPr>
          <w:b/>
        </w:rPr>
        <w:t xml:space="preserve">Quelle: </w:t>
      </w:r>
      <w:r>
        <w:t>https://mcp.opencaselaw.ch/entscheid/bvger_E-581_2010</w:t>
      </w:r>
    </w:p>
    <w:p>
      <w:r>
        <w:t>FR: TAF E-581/2010 du 9 février 2010</w:t>
      </w:r>
    </w:p>
    <w:p>
      <w:r>
        <w:t>IT: TAF E-581/2010 del 9 febbraio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im Sinne der Erwägungen gutgeheissen.</w:t>
      </w:r>
    </w:p>
    <w:p>
      <w:r>
        <w:rPr>
          <w:b/>
        </w:rPr>
        <w:t>E. 2</w:t>
      </w:r>
    </w:p>
    <w:p>
      <w:r>
        <w:t>Die Verfügung vom 20. Januar 2010 wird aufgehoben. Die Sache wird im Sinne der Erwägungen zur Neubeurteilung an das BFM zurückgewiesen.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Das BFM hat der Beschwerdeführerin für das Verfahren vor dem Bundesverwaltungsgericht eine Parteientschädigung von Fr. 750.- zu entrichten.</w:t>
      </w:r>
    </w:p>
    <w:p>
      <w:r>
        <w:rPr>
          <w:b/>
        </w:rPr>
        <w:t>E. 5</w:t>
      </w:r>
    </w:p>
    <w:p>
      <w:r>
        <w:t>Dieses Urteil geht an den Rechtsvertreter der Beschwerdeführerin, das BFM und [kantonale Behörde]. Die Einzelrichterin: Die Gerichtsschreiberin: Muriel Beck Kadima Stella Boleki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