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E-5815/2023 vom 2. November 2023</w:t>
      </w:r>
    </w:p>
    <w:p>
      <w:r>
        <w:t>Bundesverwaltungsgericht, 2023-11-02, FR</w:t>
      </w:r>
    </w:p>
    <w:p>
      <w:r>
        <w:rPr>
          <w:b/>
        </w:rPr>
        <w:t xml:space="preserve">Quelle: </w:t>
      </w:r>
      <w:r>
        <w:t>https://mcp.opencaselaw.ch/entscheid/bvger_E-5815_2023</w:t>
      </w:r>
    </w:p>
    <w:p>
      <w:r>
        <w:t>FR: TAF E-5815/2023 du 2 novembre 2023</w:t>
      </w:r>
    </w:p>
    <w:p>
      <w:r>
        <w:t>IT: TAF E-5815/2023 del 2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L'intéressée a qualité pour recourir (art. 48 al. 1 PA, applicable par renvoi de l'art. 37 LTAF). Interjeté dans la forme (art. 52 al. 1 PA) et le délai (art. 108 al. 3 LAsi) prescrits par la loi, le recours est recevable.</w:t>
      </w:r>
    </w:p>
    <w:p>
      <w:r>
        <w:rPr>
          <w:b/>
        </w:rPr>
        <w:t>E. 1.3</w:t>
      </w:r>
    </w:p>
    <w:p>
      <w:r>
        <w:t>A titre liminaire, le Tribunal rejette la demande d'octroi d'un délai supplémentaire pour compléter le recours, celle-ci n'étant pas motivée. En outre, si tant est que l'intéressée requiert la consultation des pièces du dossier N (cf. p. 8 s. du recours), elle n'expose pas lesquelles ne lui auraient pas été transmises avec la décision querellée d'après l'index des pièces qu'elle a reçu, de sorte que cette demande doit aussi être rejetée. Quant aux critiques formulées par la recourante au sujet de ses conditions d'hébergement en Suisse, elles ne font pas l'objet du litige.</w:t>
      </w:r>
    </w:p>
    <w:p>
      <w:r>
        <w:rPr>
          <w:b/>
        </w:rPr>
        <w:t>E. 2.1</w:t>
      </w:r>
    </w:p>
    <w:p>
      <w:r>
        <w:t>Il convient d'abord d'examiner les griefs formels soulevés par la recourante, ceux-ci étant susceptibles d'entraîner l'annulation de la décision attaquée indépendamment des chances de succès du recours sur le fond (cf. ATF 144 I 11 consid. 5.3, et la jurisprudence citée ; ATAF 2019 VII/6 consid. 4.1, 2013/34 consid. 4.2, 2013/23 consid. 6.1.3, 2010/35 consid. 4.1.1 et jurisp. cit.).</w:t>
      </w:r>
    </w:p>
    <w:p>
      <w:r>
        <w:rPr>
          <w:b/>
        </w:rPr>
        <w:t>E. 2.2</w:t>
      </w:r>
    </w:p>
    <w:p>
      <w:r>
        <w:t>La recourante fait valoir que le SEM aurait violé son droit d'être entendue et la maxime inquisitoire. Elle relève l'absence de son avocat lors de l'entretien Dublin et reproche à l'autorité intimée d'avoir instruit de manière insuffisante les faits pertinents relatifs à son état de santé.</w:t>
      </w:r>
    </w:p>
    <w:p>
      <w:r>
        <w:rPr>
          <w:b/>
        </w:rPr>
        <w:t>E. 2.3.1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S'agissant des faits médicaux, il appartient à la partie de les invoquer.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2.3.2</w:t>
      </w:r>
    </w:p>
    <w:p>
      <w:r>
        <w:t>Concernant d'abord l'absence de l'avocat de la recourante lors de l'entretien Dublin, il y a lieu de relever que l'autorité inférieure a contacté celui-ci afin de l'informer que la procédure Dublin de sa mandante serait menée au CFA de Boudry et d'obtenir ses disponibilités (cf. les pièces 19/7 et 20/8 du dossier du SEM). Le mandataire, insistant sur le fait que la demande d'asile de la recourante devait être traitée en Suisse alémanique, n'a pas donné suite à cette sollicitation, de sorte que le SEM a continué ses démarches en vue de la planification de l'entretien Dublin. Dans ce cadre, il a sciemment fixé un rendez-vous l'après-midi afin de permettre à l'avocat de l'intéressée de se rendre à Boudry depuis B._______. Contrairement à ce qui est soutenu dans le recours, il ne saurait être reproché au SEM d'avoir mené l'entretien Dublin au lieu d'attribution de la recourante (le CFA de Boudry), et non au lieu d'établissement de son représentant légal. Il était du reste loisible à l'intéressée de faire appel à un autre mandataire dans la région dans laquelle elle avait été officiellement attribuée ou de bénéficier de la représentation juridique (gratuite) de Caritas Suisse au CFA de Boudry (qu'elle a refusée). Elle a d'ailleurs expressément déclaré ne voir aucun problème à ce que l'entretien Dublin se déroule en l'absence de son avocat (cf. pv de l'entretien du 19 septembre 2023). Quoi qu'il en soit, l'entretien Dublin, au sens de l'art. 5 RD III, ne constitue ni un premier entretien ni une audition sur les motifs d'asile, de sorte que cette étape de procédure déploie ses effets indépendamment de la participation du représentant juridique dans le cadre du droit d'être entendu (cf. arrêt du Tribunal E-5608/2022 du 31 mai 2023 consid. 5.4 et 5.5, prévu pour la publication). Quant aux faits médicaux, ils ont été établis à satisfaction de droit. La recourante a été entendue par le SEM sur son état de santé, lors de son entretien Dublin, dont le procès-verbal a été transmis à son mandataire le même jour. A cette occasion, il lui a été signalé qu'il lui appartenait de faire valoir toute atteinte à la santé qui pourrait s'avérer déterminante dans le cadre de la procédure en s'adressant à l'infirmerie du CFA et le lendemain, le SEM lui a expressément demandé de produire toutes les pièces médicales en sa possession, ce à quoi elle n'a pas donné suite. En outre, la recourante a pu consulter des médecins et deux rapports médicaux ont été versés au dossier. Ceux-ci ne font pas ressortir la nécessité d'instruire davantage sa situation médicale. Partant, l'autorité intimée était fondée à statuer sans procéder à des mesures d'investigation supplémentaires ou attendre l'établissement d'autres rapports médicaux (sur cette question, cf. notamment l'ATAF 2022 I/6). L'intéressée n'indique d'ailleurs pas concrètement en quoi l'état de fait médical serait incomplet ou inexact.</w:t>
      </w:r>
    </w:p>
    <w:p>
      <w:r>
        <w:rPr>
          <w:b/>
        </w:rPr>
        <w:t>E. 2.4</w:t>
      </w:r>
    </w:p>
    <w:p>
      <w:r>
        <w:t>Dans ces conditions, les griefs d'ordre formel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RD III (cf. ATAF 2019 VI/7 consid. 4 à 6 ; 2017 VI/5 consid. 6.2 et 8.2.1).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5</w:t>
      </w:r>
    </w:p>
    <w:p>
      <w:r>
        <w:t>Comme déjà relevé, les investigations entreprises par le SEM ont révélé que l'intéressée avait déposé une demande d'asile en Croatie, le (...) mai 2023. Sur la base de cette information, le SEM a soumis aux autorités compétentes, le 19 septembre 2023 (dans les délais fixés à l'art. 23 par. 2 RD III), une requête aux fins de reprise en charge, fondée sur l'art. 18 al. 1 let. b RD III. Le 3 octobre 2023, la Croatie a expressément accepté cette requête sur la base de l'art. 20 par. 5 RD III (pour la portée de cette disposition, cf. notamment arrêts du TAF F-3303/2023 du 16 juin 2023 consid. 3.4 ; F-1857/2023 du 13 avril 2023 consid. 4.3 et réf. cit.). Ce point n'est au demeurant pas contesté dans le recours. Par conséquent, la compétence de la Croatie est donnée, étant souligné que la présence de la tante de l'intéressée en Suisse n'est en l'occurrence pas déterminante (cf. consid. 7.7).</w:t>
      </w:r>
    </w:p>
    <w:p>
      <w:r>
        <w:rPr>
          <w:b/>
        </w:rPr>
        <w:t>E. 6.1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Conformément à la pratique actuelle du Tribunal dans le cadre de procédures de reprise en charge Dublin (cf. arrêt E-1684/2002 du 11 janvier 2023 consid. 6.2 et réf. cit.), il n'y a, en l'état, pas de sérieuses raisons de croire qu'il existe en Croatie des défaillances systémiques dans la procédure d'asile et les conditions d'accueil des demandeurs concernés par ces procédures de reprise en charge, et ce nonobstant les prises de position critiques de plusieurs organismes (notamment le Conseil de l'Europe), essentiellement concernant une pratique de la Croatie consistant à renvoyer des migrants vers la Bosnie-Herzégovine (cf. arrêt de coordination E-1488/2020 du 22 mars 2023 consid. 9.5).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de la Convention contre la torture ou autres peines ou traitements cruels, inhumains ou dégradants du 10 décembre 1984 (Conv. torture, RS 0.105) demeure présumé (cf. arrêt E-1488/2020 précité ; ATAF 2017 VI/5 consid. 8.4 ; 2010/45 consid. 7.4 et 7.5).</w:t>
      </w:r>
    </w:p>
    <w:p>
      <w:r>
        <w:rPr>
          <w:b/>
        </w:rPr>
        <w:t>E. 6.3</w:t>
      </w:r>
    </w:p>
    <w:p>
      <w:r>
        <w:t>En l'occurrence, la position du SEM sur l'absence de défaillances systémiques (reprise en charge Dublin) est conforme à la pratique précitée du Tribunal, dans la mesure notamment où l'intéressée a pu déposer une demande de protection en Croatie et que cet Etat a expressément accepté de la reprendre en charge sur son territoire. Quant à ses allégations, très succinctes et qu'aucun élément concret ou probant ne vient étayer, relatives au comportement de la police croate à son égard, on ne saurait leur accorder de portée générale décisive sous l'angle de l'art. 3 par. 2 2ème phrase RD III.</w:t>
      </w:r>
    </w:p>
    <w:p>
      <w:r>
        <w:rPr>
          <w:b/>
        </w:rPr>
        <w:t>E. 6.4</w:t>
      </w:r>
    </w:p>
    <w:p>
      <w:r>
        <w:t>Partant, le SEM a considéré à juste titre que l'application de cette disposition ne se justifiait pas dans le cas d'espèce.</w:t>
      </w:r>
    </w:p>
    <w:p>
      <w:r>
        <w:rPr>
          <w:b/>
        </w:rPr>
        <w:t>E. 7.1</w:t>
      </w:r>
    </w:p>
    <w:p>
      <w:r>
        <w:t>Pour s'opposer à son transfert vers la Croatie, l'intéressée dit avoir été insultée et malmenée par la police croate lors de son interpellation. Elle aurait été emmenée mouillée dans un fourgon où soufflait de l'air froid et le chauffeur aurait adopté une conduite en zigzag afin que cela soit désagréable. Elle aurait été contrainte de donner ses empreintes digitales. En outre, elle a émis des doutes quant à l'accès à une procédure d'asile équitable et respectueuse des droits fondamentaux, n'ayant notamment pas eu accès à un interprète. Elle invoque ainsi implicitement une violation de l'art. 17 par. 1 RD III en lien avec l'art. 3 CEDH et 3 Conv. torture, ainsi qu'en lien avec l'art. 29a al. 3 de l'ordonnance 1 sur l'asile du 11 août 1999 (OA 1, RS 142.311).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Selon la jurisprudence de la Cour européenne des droits de l'homme (cf. Paposhvili c. Belgique du 13 décembre 2016, arrêt de Grande chambre [req. n°41738/10]), le retour forcé d'une personne touchée dans sa santé n'est susceptible de constituer une violation de l'art. 3 CEDH que lorsqu'il y a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points 66 à 68 ainsi qu'ATAF 2017 VI/7 consid. 6.2).</w:t>
      </w:r>
    </w:p>
    <w:p>
      <w:r>
        <w:rPr>
          <w:b/>
        </w:rPr>
        <w:t>E. 7.4</w:t>
      </w:r>
    </w:p>
    <w:p>
      <w:r>
        <w:t>En l'espèce, s'agissant de la prise des empreintes digitales de la recourante contre son gré en Croatie, il y a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L'intéressée n'a pas démontré que sa demande de protection ne serait pas traitée conformément aux dispositions légales applicables en Croatie et à la directive Procédure. Dans son cas, rien ne permet de considérer que les autorités croates refuseraient de procéder à l'examen de sa demande de protection si au terme du processus de détermination elles s'estiment responsables. Les problèmes soulevés dans le recours concernant la situation générale en Croatie en lien avec la procédure d'asile ne sauraient infléchir ce raisonnement. En outre, la recourante n'a fourni aucun élément susceptible de démontrer que cet Etat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7.5</w:t>
      </w:r>
    </w:p>
    <w:p>
      <w:r>
        <w:t>L'intéressée, qui a quitté selon ses dires le centre pour requérants d'asile croate dans lequel elle se trouvait après seulement un jour et demi, n'a pas non plus apporté d'indices suffisants qu'elle serait privée durablement, dans ce pays, des conditions matérielles prévues par la directive Accueil (directive n° 2013/33/UE du Parlement européen et du Conseil du 26 juin 2013 établissant des normes pour l'accueil des personnes demandant la protection internationale)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Conv. torture. Les mauvais traitements qu'elle aurait subis lors de son interpellation en Croatie ne sont en l'état ni étayés, ni décisifs. Quoi qu'il en soit, il n'existe pas de raison concrète et sérieuse d'admettre que lors de son transfert vers la Croatie, elle risque d'être exposée à une situation similaire à celle qu'elle dit avoir connue à son arrivée dans ce pays, après son interpellation en tant que personne étrangère en situation irrégulière jusqu'à la prise de ses empreintes digitales et à l'enregistrement de sa demande d'asile.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leur encontre ou de toute autre manière porte atteinte à leurs droits fondamentaux, il lui appartiendrait de faire valoir ses droits directement auprès des autorités de ce pays (art. 26 de la directive Accueil), en faisant éventuellement appel aux organisations caritatives oeuvrant sur place (cf. arrêt du Tribunal E-2755/2022 du 8 septembre 2022 consid. 5.4 et jurisp. cit.).</w:t>
      </w:r>
    </w:p>
    <w:p>
      <w:r>
        <w:rPr>
          <w:b/>
        </w:rPr>
        <w:t>E. 7.6.1</w:t>
      </w:r>
    </w:p>
    <w:p>
      <w:r>
        <w:t>Compte tenu de la jurisprudence restrictive en la matière, il y a encore lieu de considérer que les problèmes de santé évoqués par la recourante (douleurs à la tête ainsi qu'à une épaule, asthme, carences vitaminiques, myopie, troubles du sommeil et suspicion de PTSD en raison de la perte de proches dans un séisme) ne sont pas d'une gravité telle qu'il se justifierait de renoncer à son transfert vers la Croatie (cf. arrêt Paposhvili c. Belgique précité). En effet, rien n'indique que l'intéressée présente des affections d'une gravité ou d'une spécificité telle qu'elles ne pourraient pas être traitées en Croatie (sur les possibilités de prise en charge médicale dans le domaine de l'asile en Croatie, cf. notamment arrêts du Tribunal E-6093/2022 du 8 juin 2023 consid. 5.3.3 ; E-3771/2022 du 2 novembre 2022 consid. 6.4 ; E-4732/2022 du 31 octobre 2022 consid. 6.3.4).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7.6.2</w:t>
      </w:r>
    </w:p>
    <w:p>
      <w:r>
        <w:t>Dès lors, il y a lieu de retenir que l'état de santé de la recourante ne saurait faire obstacle à l'exécution de son transfert vers la Croatie.</w:t>
      </w:r>
    </w:p>
    <w:p>
      <w:r>
        <w:rPr>
          <w:b/>
        </w:rPr>
        <w:t>E. 7.6.3</w:t>
      </w:r>
    </w:p>
    <w:p>
      <w:r>
        <w:t>Cela étant et si nécessaire, il incombera aux autorités suisses chargées de l'exécution du transfert de transmettre à leurs homologues croates, en temps utile, les renseignements permettant une prise en charge médicale adéquate de la recourante (art. 31 et 32 RD III).</w:t>
      </w:r>
    </w:p>
    <w:p>
      <w:r>
        <w:rPr>
          <w:b/>
        </w:rPr>
        <w:t>E. 7.7</w:t>
      </w:r>
    </w:p>
    <w:p>
      <w:r>
        <w:t>La présence en Suisse de la tante de la recourante, qui la soutiendrait moralement, ne suffit en l'occurrence pas pour justifier l'application de la clause discrétionnaire de l'art. 17 RD III, étant de surcroît rappelé qu'elle n'entre pas dans la définition de membres de la famille au sens de l'art. 2 let. g RD III. Bien que l'on puisse comprendre le souhait de l'intéressée de vouloir vivre chez sa tante, les critères d'application de l'art. 16 RD III ne sont à l'évidence pas non plus remplis. Ainsi que l'a à juste titre retenu le SEM (cf. p. 8 de la décision querellée), il ne ressort pas du dossier que la recourante serait particulièrement proche de sa tante (qu'elle n'a vu qu'une fois par an avant son arrivée en Suisse il y a seulement quelques mois), ni qu'elle dépendrait de son assistance en raison de ses problèmes psychologiques (qui, dit-elle elle-même, sont dus aux tremblements de terre survenus en février dernier en Turquie et non à ses différends familiaux). Pour le reste, le Tribunal fait siennes et renvoie aux considérations du SEM eu égard à l'inapplication de l'art. 8 CEDH (cf. décision querellée, p. 9).</w:t>
      </w:r>
    </w:p>
    <w:p>
      <w:r>
        <w:rPr>
          <w:b/>
        </w:rPr>
        <w:t>E. 7.8</w:t>
      </w:r>
    </w:p>
    <w:p>
      <w:r>
        <w:t>Par conséquent, le transfert de l'intéressée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précité consid. 8).</w:t>
      </w:r>
    </w:p>
    <w:p>
      <w:r>
        <w:rPr>
          <w:b/>
        </w:rPr>
        <w:t>E. 8</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la demande d'octroi de l'effet suspensif est sans objet.</w:t>
      </w:r>
    </w:p>
    <w:p>
      <w:r>
        <w:rPr>
          <w:b/>
        </w:rPr>
        <w:t>E. 10.2</w:t>
      </w:r>
    </w:p>
    <w:p>
      <w:r>
        <w:t>Au vu du caractère d'emblée voué à l'échec des conclusions du recours, il y a lieu de rejeter les demandes d'assistance judiciaire totale et de désignation d'un mandataire d'office dont celui-ci est assorti (art. 65 al. 1 PA et 102m LAsi).</w:t>
      </w:r>
    </w:p>
    <w:p>
      <w:r>
        <w:rPr>
          <w:b/>
        </w:rPr>
        <w:t>E. 10.3</w:t>
      </w:r>
    </w:p>
    <w:p>
      <w:r>
        <w:t>Compte tenu de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