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E-5815/2020 vom 10. Februar 2021</w:t>
      </w:r>
    </w:p>
    <w:p>
      <w:r>
        <w:t>Bundesverwaltungsgericht, 2021-02-10, DE</w:t>
      </w:r>
    </w:p>
    <w:p>
      <w:r>
        <w:rPr>
          <w:b/>
        </w:rPr>
        <w:t xml:space="preserve">Quelle: </w:t>
      </w:r>
      <w:r>
        <w:t>https://mcp.opencaselaw.ch/entscheid/bvger_E-5815_2020</w:t>
      </w:r>
    </w:p>
    <w:p>
      <w:r>
        <w:t>FR: TAF E-5815/2020 du 10 février 2021</w:t>
      </w:r>
    </w:p>
    <w:p>
      <w:r>
        <w:t>IT: TAF E-5815/2020 del 10 febbraio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vorbehältlich nachfolgender Einschränkung, einzutreten.</w:t>
      </w:r>
    </w:p>
    <w:p>
      <w:r>
        <w:rPr>
          <w:b/>
        </w:rPr>
        <w:t>E. 1.3</w:t>
      </w:r>
    </w:p>
    <w:p>
      <w:r>
        <w:t>Nicht einzutreten ist auf den Antrag betreffend Gewährung des Asyls. Die Beschwerdeführerin hat im zweiten Asylverfahren nie geltend gemacht, zwischenzeitlich in die Türkei zurückgekehrt zu sein und die Ursachen ihrer angeblichen (neuen) Verfolgung dort gesetzt zu haben. Wer nun aber wegen seines Verhaltens nach der Ausreise eine Verfolgungssituation begründet hat (sog. subjektive Nachfluchtgründe), hat zwar grundsätzlich ebenfalls Anspruch auf die Flüchtlingseigenschaft, wogegen das Asyl aber nach Gesetz zum vornherein verwehrt bleibt (vgl. Art. 54 AsylG). Ein Eintretensanspruch kann auf Beschwerdestufe nun auch nicht aus dem Umstand abgeleitet werden, dass in der angefochtenen Verfügung (dort Ziff. 2 des Dispositivs) materiell über das Asyl (abschlägig) befunden wurde.</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dennoch vorbehalten bleibt (Art. 3 Abs. 4 AsylG). Es bleiben damit die Anforderungen an den Nachweis einer begründeten Furcht massgeblich (Art. 3 und 7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(vgl. BVGE 2015/3 E. 6.5.1, 2013/11 E. 5.1 und 2010/57 E. 2.3, je m.w.H.) Bei Asylgesuchen, die innert fünf Jahren nach Eintritt der Rechtskraft des Asyl- und Wegweisungsentscheides eingereicht werden, hat die Eingabe schriftlich und begründet zu erfolgen (Art. 111c Abs. 1 AsylG).</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Entscheids betreffend das Mehrfachgesuch qualifizierte das SEM die geltend gemachten Verfolgungsvorbringen als den Anforderungen von Art. 3 AsylG an die flüchtlingsrechtliche Beachtlichkeit nicht genügend. Die Furcht der Beschwerdeführerin vor einer politisch motivierten Haftstrafe erscheine unbegründet. Sie sei strafrechtlich unbescholten, weise kein politisches Profil auf, Hinweise auf den Erlass eines Festnahme- beziehungsweise Vorführbefehls lägen bislang keine vor und sie habe entsprechend bei einer Rückkehr auch nicht mit einer Festnahme zu rechnen. Eine Verurteilung zu einer Haftstrafe sei im heutigen Zeitpunkt noch keineswegs absehbar. Die angebliche frühere politische Aktivität des Cousins sei eine reine Parteibehauptung und sie vermöge keinen Konnex zu diesem herzustellen. Aus dem politischen Profil ihres (...) Bruders könne sie ebenso wenig eine eigene Gefährdung ableiten, da dessen Ausreise (...) Jahre vor ihrer eigenen gelegen habe und sie bislang nie Probleme im Zusammenhang mit diesem Bruder geltend gemacht habe. Zudem lebten ihre Eltern und (...) Geschwister gemäss Aktenlage nach wie vor unbehelligt in der Türkei. Gestützt auf Gesetz und Praxis in der Türkei betrage das Strafmass für eine allfällige Verurteilung wegen der angeführten Straftatbestände in der Regel zwei Jahre oder weniger und die Wahrscheinlichkeit einer unbedingten Haftstrafe sei gering. Allfällige mit einer bedingten Haftstrafe oder einem Aufschub der Verkündung des Urteils angeordnete Bewährungsauflagen wären zudem als flüchtlingsrechtlich nicht relevant einzustufen. Selbst im unwahrscheinlichen Fall einer unbedingten Haftstrafe würde in aller Regel der offene Strafvollzug anstelle der Verbüssung im Gefängnis angeordnet. Das gegen die Beschwerdeführerin eröffnete Verfahren befinde sich im Übrigen noch in einem frühen Verfahrensstadium; erst in einem allfälligen gerichtlichen Hauptverfahren würde sich überhaupt zeigen, ob die im Ermittlungsverfahren gegen sie erhobenen Vorwürfe allenfalls sogar rechtmässig erfolgt seien. Sie erfülle daher die Flüchtlingseigenschaft mangels hinreichend begründeter Furcht vor flüchtlingsrechtlich bedeutsamer Verfolgung nicht. Die gesetzliche Regelfolge der Ablehnung des Asylgesuchs sei die Wegweisung aus der Schweiz. Deren Vollzug sei mangels Erfüllung der Flüchtlingseigenschaft unter dem Aspekt von Art. 5 Abs. 1 AsylG sowie mangels Anhaltspunkten für eine nach Art. 3 EMRK verbotene Strafe oder Behandlung völkerrechtlich zulässig. Er sei mit Hinweis auf die im ersten Asylverfahren erst- und zweitinstanzlich gewonnenen Erkenntnisse, unter Berücksichtigung der aktuellen politischen Situation in der Türkei und mangels gegenteiliger individueller Gründe ebenso zumutbar und im Übrigen technisch möglich und praktisch durchführbar. Die Gebühr stütze sich schliesslich auf Art. 111d AsylG.</w:t>
      </w:r>
    </w:p>
    <w:p>
      <w:r>
        <w:rPr>
          <w:b/>
        </w:rPr>
        <w:t>E. 5.2</w:t>
      </w:r>
    </w:p>
    <w:p>
      <w:r>
        <w:t>In der Rechtsmitteleingabe hält die Beschwerdeführerin zunächst fest, dass sie ihrer Mitwirkungspflicht im erstinstanzlichen Verfahren nachgekommen sei und insbesondere mit der am 16. Oktober 2020 der Post aufgegebenen Eingabe Beweismittel zu ihrem Strafverfahren betreffend die erwähnten Straftatbestände vorgelegt und mithin die Eröffnung eines Strafermittlungsverfahrens gegen sie in der Türkei zumindest glaubhaft gemacht habe; weitere Unterlagen seien einstweilen aufgrund des erst in der Ermittlungsphase befindlichen Verfahrens nicht beschaffbar, sondern erst nach Eröffnung einer Strafklage. Dennoch habe das SEM umgehend einen abweisenden Entscheid getroffen. Dessen Einschätzung einer nicht flüchtlingsrechtlich relevanten Verfolgung sei aus ihrer Sicht zu optimistisch. Aus dem eingereichten und nunmehr mit einer teilweisen Übersetzung vorlegbaren Schreiben des «(...)» vom (...) Juni 2020 gehe ein Auftrag an die Polizei hervor, eine Untersuchung zur Feststellung der Wohnadresse und eine Befragung der Beschuldigten vorzunehmen. Daraus sei zu schliessen, dass ein Festnahme-, Vorführ- oder Haftbefehl eines Gerichts oder Staatsanwalts wohl nicht nötig ist, um sie in Untersuchungshaft zu nehmen. Damit sei ihre Festnahme bei einer Rückkehr in die Türkei am Flughafen und die Anordnung einer Untersuchungshaft mit nachfolgender Zuweisung an die Staatsanwaltschaft und Hafteinweisung wahrscheinlich. Da es sich vorliegend um mehrere Straftatbestände handle, seien die vorinstanzlichen Erkenntnisse der allfälligen Gewärtigung einer bloss bedingten Strafe und einer Verbüssung im offenen Vollzug unzutreffend. Der angefochtene Entscheid verletze somit Bundesrecht und die EMRK.</w:t>
      </w:r>
    </w:p>
    <w:p>
      <w:r>
        <w:rPr>
          <w:b/>
        </w:rPr>
        <w:t>E. 6.1</w:t>
      </w:r>
    </w:p>
    <w:p>
      <w:r>
        <w:t>Die Beschwerdeführerin bezeichnete ihre Eingabe vom 3. August 2019 ausdrücklich als zweites Asylgesuch und richtete sie konsequenterweise an das für die Behandlung multipler Asylgesuche zuständige SEM. Dieses hat das neue Asylgesuch denn auch zutreffend als solches entgegengenommen. Obwohl das kurz gehaltene zweite Asylgesuch nach Auffassung des Bundesverwaltungsgerichts an der Grenze zur nach Art. 111c Abs. 1 AsylG geforderten gehörigen schriftlichen Begründung einzuordnen ist - das Ausschlag gebende Beweismittel wurde nur in Teilen, als Kopie und unübersetzt vorgelegt und weitere Unterlagen wurden bloss in Aussicht gestellt - kann es spätestens nach erfolgter Nachinstruktion als genügend liquid bezeichnet werden. Dass das SEM das Gesuch materiell behandelt hat, ist daher nicht zu beanstanden.</w:t>
      </w:r>
    </w:p>
    <w:p>
      <w:r>
        <w:rPr>
          <w:b/>
        </w:rPr>
        <w:t>E. 6.2</w:t>
      </w:r>
    </w:p>
    <w:p>
      <w:r>
        <w:t>Die Beschwerdeführerin stellt in ihrer Rechtmitteleingabe zwar einen Rückweisungsantrag, erhebt hierzu aber keine expliziten Rügen formeller Art, so dass die Intention des Antrages nicht klar erkennbar ist. Vorliegend besteht aber - wie noch aufgezeigt wird - ohnehin Anlass für eine im Rahmen der Überprüfung von Amtes wegen vorzunehmende Kassation, da das Bundesverwaltungsgericht den Sachverhalt gemäss den nachfolgenden Ausführungen als ungenügend erstellt (und den in der Beschwerde gestellten Rückweisungsantrag somit im Resultat als berechtigt) erachtet.</w:t>
      </w:r>
    </w:p>
    <w:p>
      <w:r>
        <w:rPr>
          <w:b/>
        </w:rPr>
        <w:t>E. 6.3.1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was sich entsprechend in einer sachgerecht anfechtbaren Entscheidbegründung niederzuschlagen hat (vgl. Art. 29 Abs. 2 BV; Art. 29, Art. 32 Abs. 1 und Art. 35 Abs. 1 VwVG). Nicht erforderlich ist, dass sich die Begründung mit allen Parteistandpunkten einlässlich auseinandersetzt und jedes einzelne Vorbringen ausdrücklich widerlegt (vgl. BGE 143 III 65 E. 5.2). Der Anspruch auf rechtliches Gehör beschlägt nur die Feststellung des rechtserheblichen Sachverhalts, nicht aber dessen rechtliche Würdigung. Die unrichtige oder unvollständige Feststellung des rechtserheblichen Sachverhalts bildet einen Beschwerdegrund und dem Bundesverwaltungsgericht obliegt gemäss Art. 49 Bst. b VwVG beziehungsweise Art. 106 Abs. 1 Bst. b AsylG eine umfassende Sachverhaltskontrolle.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Ermittelt das Bundesverwaltungsgericht eine fehler- oder lückenhafte Feststellung des Sachverhalts, hebt es die Verfügung auf und weist die Sache an die Vorinstanz zurück, damit diese den rechtserheblichen Sachverhalt neu und vollständig feststellt (vgl. Moser/Beusch/Kneubühler, Prozessieren vor dem Bundesverwaltungsgericht, 2. Aufl. 2013, Rz. 2.191; Kölz/Häner/Bertschi, a.a.O., Rz. 1155). Der Untersuchungsgrundsatz gehört sodann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w:t>
      </w:r>
    </w:p>
    <w:p>
      <w:r>
        <w:rPr>
          <w:b/>
        </w:rPr>
        <w:t>E. 6.3.2</w:t>
      </w:r>
    </w:p>
    <w:p>
      <w:r>
        <w:t>Vorab ist klarzustellen, dass der von der Beschwerdeführerin nachgereichten Eingabe vom 16. Oktober 2020 die Rechtswesentlichkeit zwar nicht abzusprechen ist. Entgegen ihrer Behauptung ist die Postsendung aber nicht am 16., sondern erst am 18. Oktober 2020 erfolgt. Die vom SEM angesetzte Frist zur Einreichung von Beweismitteln endete am 12. Oktober 2020. Dass es damit zu einer Überkreuzung mit dem angefochtenen Entscheid gekommen ist und die Eingabe dort nicht mehr berücksichtigt werden konnte, ist daher der Beschwerdeführerin selber und keineswegs der Vorinstanz zuzuschreiben. Anlass zu einer Wiedererwägung oder Wiederaufnahme des erstinstanzlichen Verfahrens bestand für das SEM auch unter Berücksichtigung des Rücküberweisungsschreibens des Bundesverwaltungsgerichts vom 3. November 2020 (mit Kopie an die Beschwerdeführerin) nicht, zumal die Beschwerdeführerin dort unmissverständlich auf die Möglichkeit der Beschwerdeerhebung und zuvor bereits vom SEM auf die Tatsache der Überkreuzung hingewiesen wurde. Die Beschwerdemöglichkeit nahm sie dann auch wahr, wobei sich der Fokus nun nur noch auf das Schreiben des (...) vom (...) Juni 2020, welches sie mit einer Teilübersetzung nochmals vorlegt, richtete.</w:t>
      </w:r>
    </w:p>
    <w:p>
      <w:r>
        <w:rPr>
          <w:b/>
        </w:rPr>
        <w:t>E. 6.3.3</w:t>
      </w:r>
    </w:p>
    <w:p>
      <w:r>
        <w:t>Gemäss dem der Verfügung des SEM zugrundliegenden Sachverhalt ist die Beschwerdeführerin in politische Strafermittlungsverfahren verwickelt, und zwar wegen Beleidigung des türkischen Staatspräsidenten, Verhetzung der Bevölkerung zu Hass und Feindseligkeit sowie Propaganda für eine terroristische Organisation. Die ohne weitergehende einzelfallspezifischen Abklärungen vorgenommene Einschätzung der Vorinstanz bezüglich der Wahrscheinlichkeit, Intensität und Motivation der geltend gemachten Furcht vor Verfolgung kann das Gericht in dieser pauschal geäusserten Form nicht teilen. Das voraussichtliche Verhalten der türkischen Behörden im konkreten Einzelfall lässt sich zwar naturgemäss nicht mit letzter Genauigkeit vorhersagen. Doch bereits die Wahrscheinlichkeit, dass ein Strafermittlungsverfahren bei der mit einer Wiedereinreise verbundenen Kontrolle entdeckt würde, ist angesichts der technischen Möglichkeiten als erhöht einzustufen. Weiter ist in Bezug auf die fraglichen Straftatbestände zu berücksichtigen, dass diese unter Umständen der Abschreckung und Bestrafung oppositioneller Tätigkeiten dienen beziehungsweise eine oppositionelle Haltung einer Person treffen können. Es ist daher im jeweiligen Einzelfall die Frage des Bestehens eines allfälligen asylrechtlich relevanten Politmalus gebührend zu prüfen (vgl. dazu BVGE 2013/25 und 2014/21). Das SEM hat im vorinstanzlichen Verfahren keine Glaubhaftigkeitsprüfung oder gar Verifizierung betreffend die im zweiten Asylgesuch vorgetragenen neuen Gründe und Beweismittel vorgenommen. Auf der Basis des vom SEM dergestalt festgestellten Sachverhalts ist eine abschliessende Beurteilung der Glaubhaftigkeitsfrage und mithin der Frage eines allfälligen Anspruchs auf Zuerkennung der Flüchtlingseigenschaft und Gewährung des Asyls nicht möglich. Das Mehrfachasylgesuch stützt sich auf einen neuen, nicht zum vornherein jede flüchtlingsrechtliche Bedeutsamkeit abzusprechenden Sachverhalt und auf von türkischen Strafbehörden ausgestellte Dokumente, deren Echtheit seitens des SEM bislang keiner Prüfung unterzogen wurde. Auch die Möglichkeit einer politischen Konnotation des angeblichen Strafermittlungsverfahrens gegen die Beschwerdeführerin bleibt weitgehend ungeprüft; das SEM beschränkt sich hierbei auf die simple Feststellung des Fehlens eines politischen Profils und eines politischen Konnexes zu Geschwistern und Verwandten. Die rechtliche Würdigung stützt sich sodann im Wesentlichen auf reine Vermutungen. Das SEM hätte somit der ihr obliegenden Untersuchungspflicht fundiert nachgehen und auch auf dem Instruktionsweg Nachbesserungen seitens der Beschwerdeführerin beziehungsweise ihrer Vertreterin verlangen müssen (So wird beispielsweise seitens der Beschwerdeführerin bis heute nicht dargetan, wann und wie sie beziehungsweise ihre Vertreterin oder ihr Anwalt in der Türkei in den Besitz der erwähnten und zumindest teilweise als behördenintern [Überweisungsbeschluss vom (...) Juni 2020] zu bezeichnenden Dokumente gekommen sein soll). Das SEM hat weiter auch bloss eine verkürzte Übersetzung des mit dem zweiten Asylgesuch vom 3. August 2020 eingereichten Dokuments vorgenommen. Hierbei stützt sich die Vorinstanz in der angefochtenen Verfügung auf reine Vermutungen darüber, wie die türkischen Behörden die Strafermittlung mutmasslich führen und beurteilen würden und welche Strafen der Beschwerdeführerin allenfalls drohten. Letztlich wäre bei der Beschwerdeführerin auch die durch Sicherheitsbeamte erlittene Vergewaltigung im Rahmen einer Gesamtwürdigung zu berücksichtigen gewesen. Solche vorgängigen Erlebnisse sind im Rahmen des subjektiven Elementes der begründeten Furcht vor zukünftiger Verfolgung einzubeziehen (vgl. Regeste EMARK 2004 Nr. 1, bestätigt in BVGE 2010/9). Zusätzlich ergeben sich für das Bundesverwaltungsgericht verschiedenen Positionen, die durch die Vorinstanz geklärt beziehungsweise durch die Beschwerdeführerin erklärt werden müssen. So verbleibt beispielsweise bis heute ungeklärt, weshalb seit Erlass des sogenannten Überweisungsbeschlusses bis zur Asylgesuchstellung zwei Monate verstrichen sind. Auch erstaunt die Mandatierung der Rechtsvertreterin für das neue Asylverfahren bereits im Dezember 2019 (wenige Wochen nach rechtskräftigem Abschluss des ersten Asylverfahrens), um dann aber das zweite Asylgesuch erst neun Monate später in Gang zu setzen. Weiter ist für das Gericht insofern die Logik der angeblich von den türkischen Behörden unternommenen Verfahrensschritte schwer fassbar, als offenbar ein Strafverfahren bereits eingeleitet worden sein soll, bevor der Internetüberprüfungsbericht vorlag, der die möglichen Straftaten erst erkennen lassen konnte. Die entsprechenden Sachaspekte - die durchaus zu Zweifeln an den Sachvorbringen der Beschwerdeführerin Anlass geben könnten - bedürfen einer vertieften Abklärung. Zusammenfassend ist festzuhalten, das bei objektiver Betrachtung auf der bestehenden Grundlage weder die Glaubhaftigkeit der Vorbringen der Beschwerdeführerin, noch ein allfälliger politischer Charakter des Strafverfahrens, noch die Intensität von allfällig zu befürchtenden Benachteiligungen im Ermittlungsverfahren, noch die Höhe einer gegebenenfalls zu befürchtenden Verurteilung ausreichend beurteilt werden können. Auch die Beantwortung der Frage, ob eine Kumulation aller der Beschwerdeführerin angeblich zur Last gelegten Straftatbestände den Ausschluss einer bloss bedingt auszusprechenden Strafe und einer Verbüssung im offenen Vollzug nach sich ziehen würde, bleibt seitens des SEM offen. Zwar ist das Verhalten der Beschwerdeführerin und ihrer Rechtsvertreterin im zweiten Asylverfahren insoweit zu beanstanden, als insbesondere betreffend die Mitwirkungspflicht nach Art. 8 AsylG augenfällige Defizite bestehen. Beispielsweise hat sie bislang trotz klarem Hinweis auf den reduzierten Beweiswert und ihre Übersetzungspflicht nur Kopien eingereicht, nicht alle Dokumente übersetzt und die meisten Übersetzungen nur fragmentarisch vorgenommen. Dennoch ist es Sache des SEM, mittels Nachinstruktion und/oder eigener weiterer Abklärungen eine Sachverhaltsbasis zu erstellen, die für eine Subsumption unter die gesetzlichen Anforderungen von Art. 3 AsylG und der dazugehörigen Praxis in einem materiellen Entscheid tauglich und für eine materielle Entscheidung reif ist. Es ist in diesem Zusammenhang auf das aktuelle Urteil E-6113/2020 vom 6. Januar 2021 zu verweisen, in dem das Bundesverwaltungsgericht fallbezogen beanstandet hat, dass das SEM ohne nähere Prüfung der Glaubhaftigkeit der vorgetragenen Verfolgungs- und Gefährdungsgründe eine materielle Beurteilung vornahm, die vorgängiger weiterer Instruktionsmassnahmen bedurft hätte.</w:t>
      </w:r>
    </w:p>
    <w:p>
      <w:r>
        <w:rPr>
          <w:b/>
        </w:rPr>
        <w:t>E. 6.3.4</w:t>
      </w:r>
    </w:p>
    <w:p>
      <w:r>
        <w:t>Aus dem Erwogenen ergibt sich die Notwendigkeit einer Wiederaufnahme des mit Eingabe vom 3. August 2020 eingeleiteten erstinstanzlichen Verfahrens. In diesem Rahmen wird das SEM auch Gelegenheit haben, die am 19. Oktober 2020 (dem Tag des Erlasses der angefochtenen Verfügung) bei ihm eingegangene Ergänzungseingabe der Beschwerdeführerin vom 16. Oktober 2020 sachverhaltlich zu berücksichtigen und gegebenenfalls weitere Instruktionsmassnahmen oder eigene Abklärungen zu den dort vorgelegten weiteren Beweismitteln vorzunehmen.</w:t>
      </w:r>
    </w:p>
    <w:p>
      <w:r>
        <w:rPr>
          <w:b/>
        </w:rPr>
        <w:t>E. 6.4</w:t>
      </w:r>
    </w:p>
    <w:p>
      <w:r>
        <w:t>Das Bundesverwaltungsgericht entscheidet in der Regel reformatorisch. Nur ausnahmsweise wird eine angefochtene Verfügung kassiert und an die Vorinstanz zurückgewiesen. Wie sich aus obigen Erwägungen ergibt, ist der rechtserhebliche Sachverhalt nicht genügend abgeklärt und erstellt. Es ist nicht Sache des Gerichts, als letzte Beschwerdeinstanz umfassende Sachverhaltsabklärungen durchzuführen und erstmals über sich allenfalls neu stellende Rechtsfragen zu entscheiden; ein abschlägiger Entscheid nach weiteren Sachverhaltsabklärungen und neuer Sachverhaltsfeststellung durch das Gericht würde für die Beschwerdeführerin auch einen Instanzenverlust und mithin eine Verletzung ihres Anspruchs auf Wahrung des rechtlichen Gehörs bedeuten. Die Kassation der angefochtenen Verfügung ist daher gerechtfertigt.</w:t>
      </w:r>
    </w:p>
    <w:p>
      <w:r>
        <w:rPr>
          <w:b/>
        </w:rPr>
        <w:t>E. 7</w:t>
      </w:r>
    </w:p>
    <w:p>
      <w:r>
        <w:t>Aus diesen Erwägungen ergibt sich, dass die angefochtene Verfügung vom 19. Oktober 2020 Bundesrecht verletzt und den rechtserheblichen Sachverhalt unvollständig feststellt (Art. 106 Abs. 1 AsylG). Die angefochtene Verfügung ist aufzuheben und die Beschwerde insoweit gutzuheissen, soweit überhaupt Eintretensanspruch besteht. Die Sache ist im Sinne der Erwägungen (E. 6) zur vollständigen Abklärung und Feststellung des rechtserheblichen Sachverhalts und zur Neubeurteilung an die Vorinstanz zurückzuweisen.</w:t>
      </w:r>
    </w:p>
    <w:p>
      <w:r>
        <w:rPr>
          <w:b/>
        </w:rPr>
        <w:t>E. 8.1</w:t>
      </w:r>
    </w:p>
    <w:p>
      <w:r>
        <w:t>Bei diesem Ausgang des Verfahrens sind keine Kosten zu erheben (Art. 63 Abs. 1 und 2 VwVG).</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Rechtsvertreterin präsentiert eine Honorarnote vom 19. November 2020 mit einem Totalbetrag von Fr. 1'560.- bei einem Stundenansatz von Fr. 170.-. Der ausgewiesene zeitliche Aufwand von sieben Stunden für die sechsseitige Eingabe erscheint dabei deutlich überhöht. Gestützt auf die in Betracht zu ziehenden Bemessungsfaktoren (Art. 8-13 VGKE) ist der Beschwerdeführerin zu Lasten der Vorinstanz eine Parteientschädigung von insgesamt Fr. 900.- (inkl. Auslagen) zuzusprechen. Die Parteientschädigung umfasst keinen Mehrwertsteuerzuschlag im Sinne von Art. 9 Abs. 1 Bst. c VGKE.</w:t>
      </w:r>
    </w:p>
    <w:p>
      <w:r>
        <w:rPr>
          <w:b/>
        </w:rPr>
        <w:t>E. 8.3</w:t>
      </w:r>
    </w:p>
    <w:p>
      <w:r>
        <w:t>Die Gesuche um Gewährung der unentgeltlichen Rechtspflege und um Beiordnung der rubrizierten Rechtsvertreterin als unentgeltliche Rechtsbeiständin werden damit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