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E-5813/2011 vom 24. November 2011</w:t>
      </w:r>
    </w:p>
    <w:p>
      <w:r>
        <w:t>Bundesverwaltungsgericht, 2011-11-24, DE</w:t>
      </w:r>
    </w:p>
    <w:p>
      <w:r>
        <w:rPr>
          <w:b/>
        </w:rPr>
        <w:t xml:space="preserve">Quelle: </w:t>
      </w:r>
      <w:r>
        <w:t>https://mcp.opencaselaw.ch/entscheid/bvger_E-5813_2011</w:t>
      </w:r>
    </w:p>
    <w:p>
      <w:r>
        <w:t>FR: TAF E-5813/2011 du 24 novembre 2011</w:t>
      </w:r>
    </w:p>
    <w:p>
      <w:r>
        <w:t>IT: TAF E-5813/2011 del 24 novembre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Das BFM hat mit Verfügung vom 23. September 2011 festgestellt, dass die Beschwerdeführenden die Flüchtlingseigenschaft nicht erfüllen, die Asylgesuche abgewiesen und die Wegweisung sowie deren Vollzug angeordnet. Die dagegen erhobene Beschwerde richtet sich lediglich gegen den Wegweisungsvollzug. Dadurch ist die Verfügung des BFM in Bezug auf Flüchtlingseigenschaft, die Asylgewährung und die Wegweisung als solche in Rechtskraft erwachsen (Dispositiv Ziff. 1-3). Gegenstand des vorliegenden Verfahrens bildet somit lediglich die Frage, ob das BFM den Vollzug der Wegweisung zu Recht als zulässig, zumutbar und möglich erachtet hat.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betrifft indessen nur Personen, welche die Flüchtlingseigenschaft im Sinne von Art. 3 AsylG respektive Art. 1 A FK erfüllen (vgl. MARIO GATTIKER, Das Asyl- und Wegweisungsverfahren, Bern 1999, S. 89).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Entscheidungen und Mitteilungen der Schweizerischen Asylrekurskommission [EMARK] 2001 Nr. 16 S. 122, mit weiteren Hinweisen; EGMR [Grosse Kammer], Saadi gegen Italien, Urteil vom 28. Februar 2008, Beschwerde Nr. 37201/06, §§ 124-127, mit weiteren Hinweisen).</w:t>
      </w:r>
    </w:p>
    <w:p>
      <w:r>
        <w:rPr>
          <w:b/>
        </w:rPr>
        <w:t>E. 4.2.2</w:t>
      </w:r>
    </w:p>
    <w:p>
      <w:r>
        <w:t>Vorab ist festzuhalten, dass die allgemeine Sicherheits- und Menschenrechtslage in Kosovo den Wegweisungsvollzug zum heutigen Zeitpunkt nicht als unzulässig erscheinen lässt. Gemäss Rechtsprechung des Bundesverwaltungsgerichts ist der kosovarische Staat grundsätzlich schutzwillig und schutzfähig. Da sodann der ursprüngliche Entscheid des BFM vom 23. September 2011 namentlich hinsichtlich der Frage der Flüchtlingseigenschaft in Rechtskraft erwachsen ist, findet das in Art. 5 AsylG verankerte Prinzip des flüchtlingsrechtlichen Non-Refoulements im vorliegenden Verfahren keine Anwendung. Soweit die Beschwerdeführerin 1 in der vorliegenden Rechtsmittelschrift lediglich ihre im Asylverfahren geltend gemachte, von der Familie ihres Ex-Ehemannes sowie von ihrer eigenen Familie ausgehende Verfolgungslage wiederholt, ist festzuhalten, dass diese im ergangenen Asylentscheid als offensichtlich unglaubhaft erkannt worden ist, ohne dass die betreffenden Dispositivziffern mittels Beschwerde angefochten worden wären. Auch aus der Rechtsmitteleingabe ergeben sich keine substanziierten Hinweise, wonach den Beschwerdeführenden bei einer Rückkehr nach Kosovo ein "real risk" drohen würde.</w:t>
      </w:r>
    </w:p>
    <w:p>
      <w:r>
        <w:rPr>
          <w:b/>
        </w:rPr>
        <w:t>E. 4.2.3</w:t>
      </w:r>
    </w:p>
    <w:p>
      <w:r>
        <w:t>Zusammenfassend ist festzustellen, dass der Wegweisungsvollzug sowohl im Sinne der asyl- als auch der völkerrechtlichen Bestimmungen als zulässig zu bezeichnen ist.</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Die Vorinstanz legt in ihrer Verfügung zutreffend dar, dass weder die im Heimatstaat der Beschwerdeführenden herrschende politische Situation noch andere Gründe gegen die Zumutbarkeit einer Rückführung nach Kosovo sprechen. Sie verfügen im Heimatstaat zumindest mit der Schwester beziehungsweise Tante über ein Beziehungsnetz. Angesichts der mehrjährigen Arbeitstätigkeit der Beschwerdeführerin 1 als Friseuse ist es ihr zumutbar, für sich und ihre beiden Kinder in Kosovo eine neue Existenz aufzubauen.</w:t>
      </w:r>
    </w:p>
    <w:p>
      <w:r>
        <w:rPr>
          <w:b/>
        </w:rPr>
        <w:t>E. 4.3.2</w:t>
      </w:r>
    </w:p>
    <w:p>
      <w:r>
        <w:t>Sind von einem allfälligen Wegweisungsvollzug Kinder betroffen, so bildet bei der Zumutbarkeitsprüfung das Kindeswohl einen Gesichtspunkt von gewichtiger Bedeutung. Dies ergibt sich nicht zuletzt aus einer völkerrechtskonformen Auslegung von Art. 83 Abs. 4 AuG im Lichte von Art. 3 Abs. 1 des Übereinkommens vom 20. November 1989 über die Rechte des Kindes (SR 0.107) (vgl. dazu EMARK 2005 Nr. 6 E. 6. S. 5 f.). In diesem Zusammenhang ist festzuhalten, dass unter dem Aspekt des Kindeswohls sämtliche Umstände einzubeziehen und zu würdigen sind, die im Hinblick auf einen Wegweisungsvollzug wesentlich erscheinen (vgl. EMARK 1998 Nr. 13 E. 5e/aa). Der Persönlichkeit des Kindes und seinen Lebensumständen ist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 und Ausbildung, sowie der Grad der erfolgten Integration bei einem längeren Aufenthalt in der Schweiz.</w:t>
      </w:r>
    </w:p>
    <w:p>
      <w:r>
        <w:rPr>
          <w:b/>
        </w:rPr>
        <w:t>E. 4.3.3</w:t>
      </w:r>
    </w:p>
    <w:p>
      <w:r>
        <w:t>Die beiden Kinder der Beschwerdeführerin 1 sind (...) beziehungsweise (...) Jahre alt, halten sich seit Januar 2009 in der Schweiz auf und mussten seit der Nichtverlängerung der Aufenthaltsbewilligungen Ende 2009 mit einem Wegweisungsvollzug aus der Schweiz und einer Rückkehr nach Kosovo rechnen. Sie verbrachten somit den Hauptteil ihrer Kindheit in der Heimat und nur eine relativ kurze Zeit in der Schweiz. Zwar fällt diese Zeit in die besonders prägenden Jahre der Beschwerdeführenden. Dennoch ist eine Rückführung als zumutbar zu erachten, zumal die Tochter angibt, immer Kontakt zum Vater im Heimatland gepflegt zu haben und davon auszugehen ist, dass beide Beschwerdeführenden die Muttersprache nach wie vor fliessend und wohl besser als Deutsch beherrschen. Es kann im vorliegenden Fall nicht von einer Entfremdung von der kosovarischen Kultur und Lebensweise ausgegangen werden. Die Beschwerdeführenden lebten überdies sowohl in Kosovo als auch in der Schweiz stets mit der Mutter, mit welcher sie zurückkehren. Zusammenfassend ist nicht davon auszugehen, dass die Reintegration in Kosovo zu einer derart starken Belastung in der Entwicklung der Beschwerdeführenden führen würde, dass der Vollzug der Wegweisung mit dem Kindeswohl vereinbar wäre.</w:t>
      </w:r>
    </w:p>
    <w:p>
      <w:r>
        <w:rPr>
          <w:b/>
        </w:rPr>
        <w:t>E. 4.3.4</w:t>
      </w:r>
    </w:p>
    <w:p>
      <w:r>
        <w:t>Nach dem Gesagten erweist sich auch der Vollzug der Wegweisung als zumutbar.</w:t>
      </w:r>
    </w:p>
    <w:p>
      <w:r>
        <w:rPr>
          <w:b/>
        </w:rPr>
        <w:t>E. 4.4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