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E-5806/2006 vom 11. September 2009</w:t>
      </w:r>
    </w:p>
    <w:p>
      <w:r>
        <w:t>Bundesverwaltungsgericht, 2009-09-11, DE</w:t>
      </w:r>
    </w:p>
    <w:p>
      <w:r>
        <w:rPr>
          <w:b/>
        </w:rPr>
        <w:t xml:space="preserve">Quelle: </w:t>
      </w:r>
      <w:r>
        <w:t>https://mcp.opencaselaw.ch/entscheid/bvger_E-5806_2006</w:t>
      </w:r>
    </w:p>
    <w:p>
      <w:r>
        <w:t>FR: TAF E-5806/2006 du 11 septembre 2009</w:t>
      </w:r>
    </w:p>
    <w:p>
      <w:r>
        <w:t>IT: TAF E-5806/2006 del 11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Das Bundesverwaltungsgericht ist demzufolge zuständig für die Beurteilung der vorliegenden Beschwerde und entscheidet in der vorliegenden Materie des Asylrechts endgültig (Art. 105 AsylG, Art. 83 Bst. d Ziff. 1 des Bundesgerichtsgesetzes vom 17. Juni 2005 [BGG, SR 173.110]).</w:t>
      </w:r>
    </w:p>
    <w:p>
      <w:r>
        <w:rPr>
          <w:b/>
        </w:rPr>
        <w:t>E. 1.2</w:t>
      </w:r>
    </w:p>
    <w:p>
      <w:r>
        <w:t>Das Bundesverwaltungsgericht hat am 1. Januar 2007 die Beurteilung der damals bei der ARK hängigen Rechtsmittel übernommen. Das neue Verfahrensrecht ist anwendbar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108 und Art. 6 AsylG i.V.m. Art. 48 Abs. 1, Art. 50 und 52 VwVG). Auf die Beschwerde ist einzutreten.</w:t>
      </w:r>
    </w:p>
    <w:p>
      <w:r>
        <w:rPr>
          <w:b/>
        </w:rPr>
        <w:t>E. 2</w:t>
      </w:r>
    </w:p>
    <w:p>
      <w:r>
        <w:t>Mit Beschwerde kann die Verletzung von Bundesrecht, die unrichtige oder unvollständige Feststellung des rechtserheblichen Sachverhalts und Unangemessenheit gerügt werden (Art. 106 Abs. 1 AsylG).</w:t>
      </w:r>
    </w:p>
    <w:p>
      <w:r>
        <w:rPr>
          <w:b/>
        </w:rPr>
        <w:t>E. 3</w:t>
      </w:r>
    </w:p>
    <w:p>
      <w:r>
        <w:t>Nachdem sich das vorliegende Verfahren auch ohne Durchführung eines Schriftenwechsels als spruchreif erweist, konnte auf einen solchen verzichtet werden (vgl. Art. 111a AsylG).</w:t>
      </w:r>
    </w:p>
    <w:p>
      <w:r>
        <w:rPr>
          <w:b/>
        </w:rPr>
        <w:t>E. 4</w:t>
      </w:r>
    </w:p>
    <w:p>
      <w:r>
        <w:t>Vorab ist auf die prozessualen Rügen des Beschwerdeführers einzugehen.</w:t>
      </w:r>
    </w:p>
    <w:p>
      <w:r>
        <w:rPr>
          <w:b/>
        </w:rPr>
        <w:t>E. 4.1</w:t>
      </w:r>
    </w:p>
    <w:p>
      <w:r>
        <w:t>In der Beschwerde wird geltend gemacht, die Vorinstanz habe die Begründungspflicht und damit den Anspruch auf rechtliches Gehör verletzt. Die für das Verwaltungsverfahren in Art. 35 Abs. 1 VwVG statuierte Begründungspflicht ist gemäss Bundesgericht Ausfluss des Grundsatzes des rechtlichen Gehörs (Art. 29 Abs. 2 der Bundesverfassung der Schweizerischen Eidgenossenschaft vom 18. April 1999, BV, SR 101). Die Behörden sind gemäss bundesgerichtlicher Rechtsprechung verpflichtet, die Vorbringen des Betroffenen tatsächlich zu hören (vgl. Art. 30 VwVG), sorgfältig und ernsthaft zu prüfen (vgl. Art. 32 Abs. 1 VwVG) und in der Entscheidfindung zu berücksichtigen. Sie gewährleistet den Verfügungsadressaten die Möglichkeit, wirksam Beschwerde zu führen und verhindert, dass sich die Behörden von unsachgemässen Motiven leiten lassen (vgl. LORENZ KNEUBÜHLER in: Kommentar zum VwVG, Auer/Müller/Schindler [Hrsg.], Zürich 2008, N. 4 zu Art. 35 Abs. 1 VwVG). Das Bundesverwaltungsgericht kommt zum Schluss, dass die vorinstanzliche Begründung zwar nur rudimentär ausgefallen ist, eine Verletzung der Begründungspflicht jedoch nicht vorliegt. Die Vorinstanz hat mehrere Gründe aufgeführt, auf welche sie die Verneinung der Flüchtlingseigenschaft des Beschwerdeführers stützt (vgl. S. 3 unten und 4 oben der angefochtenen Verfügung). Der Beschwerdeführer wusste also, auf welchen Überlegungen die Ablehnung des Asylgesuchs basierte und es wäre ihm möglich gewesen, die Verfügung mit Bezug auf die vorinstanzlichen Argumente gezielt anzufechten. Er war somit aufgrund der Begründung der angefochtenen Verfügung in der Lage, seine Partei- und Verfahrensrechte wahrzunehmen.</w:t>
      </w:r>
    </w:p>
    <w:p>
      <w:r>
        <w:rPr>
          <w:b/>
        </w:rPr>
        <w:t>E. 4.2</w:t>
      </w:r>
    </w:p>
    <w:p>
      <w:r>
        <w:t>In der Eingabe vom 29. Juni 2006 bringt der Beschwerdeführer weiter vor, die Vorinstanz habe seine Parteirechte verletzt, indem ihre Verfügung keine Erwägungen zur Glaubhaftigkeit seiner Vorbringen enthalte. Dies sei eine Verletzung des Anspruches auf rechtliches Gehör und stelle einen wesentlichen und unheilbaren Mangel dar. Dazu hat die ARK hat bereits in der Instruktionsverfügung vom 6. Juli 2006 unter Erwägung 3.3 ausgeführt, die Vorinstanz habe sich ohne weiteres einer Prüfung der Glaubhaftigkeit enthalten können, da sie die Vorbringen als asylrechtlich nicht relevant im Sinne von Art. 3 AsylG bezeichnet habe.</w:t>
      </w:r>
    </w:p>
    <w:p>
      <w:r>
        <w:rPr>
          <w:b/>
        </w:rPr>
        <w:t>E. 4.3</w:t>
      </w:r>
    </w:p>
    <w:p>
      <w:r>
        <w:t>Schliesslich macht der Beschwerdeführer geltend, es sei ihm das rechtliche Gehör zu der in der Verfügung vom 19. Juni 2006 erwogenen Motivsubstitution (Erw. 2.4 und 2.5) nicht gewährt worden. Die Glaubhaftigkeitsprüfung dürfe nicht abschliessend Gegenstand einer verfahrensleitenden Verfügung der Beschwerdeinstanz sein. Diese Rüge ist ebenfalls unzutreffend, zumal die Instruktionsrichterin den Beschwerdeführer in der Zwischenverfügung vom 19. Juni 2006 darauf hingewiesen hat, dass die Beschwerdeinstanz nicht an die Begründung der vorinstanzlichen Verfügung gebunden sei. Das Gericht behalte sich vor, den geltend gemachten Sachverhalt gestützt auf Art. 7 Abs. 3 AsylG zu beurteilen. In der Folge wurden in der Instruktionsverfügung die wesentlichen Gründe angeführt, welche gegen die Glaubhaftigkeit der Asylvorbringen sprechen würden. Der Beschwerdeführer hat danach die Möglichkeit gehabt, während dreissig Tagen zu einer möglichen Motivsubstitution Stellung zu nehmen.</w:t>
      </w:r>
    </w:p>
    <w:p>
      <w:r>
        <w:rPr>
          <w:b/>
        </w:rPr>
        <w:t>E. 4.4</w:t>
      </w:r>
    </w:p>
    <w:p>
      <w:r>
        <w:t>Zusammenfassend ist somit festzuhalten, dass sich die prozessualen Rügen des Beschwerdeführers als unbegründet erweisen.</w:t>
      </w:r>
    </w:p>
    <w:p>
      <w:r>
        <w:rPr>
          <w:b/>
        </w:rPr>
        <w:t>E. 5.1</w:t>
      </w:r>
    </w:p>
    <w:p>
      <w:r>
        <w:t>Gemäss Art. 2 Abs. 1 AsylG gewährt die Schweiz Flüchtlingen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hat - wie bereits erwähnt - die Flüchtlingseigenschaft des Beschwerdeführers verneint mit der Begründung, seine Vorbringen seien nicht relevant im Sinne von Art. 3 AsylG. Im Einzelnen wurde ausgeführt, bei den vom Beschwerdeführer befürchteten Übergriffen durch die Gefolgsleute von W. handle es sich um Übergriffe Dritter. Solche stellten nur dann eine asylrelevante Verfolgung dar, wenn der Staat trotz bestehender Schutzpflicht und Schutzfähigkeit den erforderlichen Schutz nicht gewähre. Diese Bedingung sei nicht erfüllt, da die geschilderten Übergriffe auch in Bangladesch unter Strafe stünden und der Beschwerdeführer es unterlassen habe, die Behörden zu informieren, womit diese gar keine Möglichkeit gehabt hätten, angemessen zu reagieren.</w:t>
      </w:r>
    </w:p>
    <w:p>
      <w:r>
        <w:rPr>
          <w:b/>
        </w:rPr>
        <w:t>E. 6.2</w:t>
      </w:r>
    </w:p>
    <w:p>
      <w:r>
        <w:t>In der Beschwerdeschrift wird dem entgegen gehalten, der Beschwerdeführer habe deshalb keine Strafanzeige bei der Polizei eingereicht, weil diese mit den kriminellen Banden zusammenarbeite. Wie auch das Rapid Action Batallion (RAB) beweise, sei Bangladesch nicht willig, Opfer von Gewaltakten zu schützen. Im Übrigen könne der Beschwerdeführer kein ordentliches faires Verfahren erwarten, sondern müsse angesichts der Korruptheit gerade der unumgänglichen unteren Gerichte mit Bestechung der Richter rechnen. Gemäss dem Corruption Perception Index 2005 sei Bangladesch das korrupteste Land der Welt. Weiter führt der Beschwerdeführer in seiner Rechtsmitteleingabe aus, die bei Dritten liegende Urheberschaft der befürchteten Verfolgung stehe einer Anerkennung als Flüchtling nicht entgegen, zumal die von der Schweiz ratifizierte UNO-Flüchtlingskonvention keine Staatlichkeit der Verfolgung voraussetze. Als Beweismittel sind auf Beschwerdeebene der Country Report on Human Rights Practices 2005 des U.S. Department of State sowie der Länderbericht des UK Home Office zu Bangladesch vom Oktober 2005 beigebracht worden.</w:t>
      </w:r>
    </w:p>
    <w:p>
      <w:r>
        <w:rPr>
          <w:b/>
        </w:rPr>
        <w:t>E. 6.3</w:t>
      </w:r>
    </w:p>
    <w:p>
      <w:r>
        <w:t>Das Bundesverwaltungsgericht kommt nach einlässlicher Prüfung der Akten zum Schluss, dass die Vorinstanz die Flüchtlingseigenschaft des Beschwerdeführers mit inhaltlich zutreffender Begründung verneint hat. In der angefochtenen Verfügung wurde die Rechtsprechung zur Schutztheorie noch nicht berücksichtigt. Gemäss dieser kann die private Verfolgung im schutzunfähigen Staat ebenfalls flüchtlingsrechtlich relevant sein. Sie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Der Schutz vor nichtstaatlicher Verfolgung auf tieferem institutionellem Niveau - beispielsweise durch einen Clan, durch eine (Gross-)Familie oder auf individuell-privater Basis - wäre jedenfalls nicht als ausreichend zu beurteilen (vgl. EMARK 2006 Nr. 18 E. 10.2.3 S. 202 f.). Die vom Beschwerdeführer gemachten Vorbringen, Gefolgsleute von W. würden ihn suchen und beabsichtigten, ihn aus Rache für den von der RAB erschossenen W. zu töten, vermag nach dieser neuen Rechtsprechung eine Gefährdungssituation demnach nicht mehr auszuschliessen. Zu prüfen ist vorliegend mithin die Frage, ob sich der Beschwerdeführer auf eine objektiv begründete Furcht vor Verfolgung durch diese privaten Personen zu berufen vermag, beziehungsweise ob diesbezüglich die Schutzfähigkeit und der Schutzwillen der heimatlichen Behörden als gegeben erachtet werden könnte. Betreffend die Schutzfähigkeit und den Schutzwillen des heimatlichen Staates muss sich der Beschwerdeführer anlasten lassen, dass der Staat bewiesen hat, dass er gewillt ist, gegen kriminelle Akteure vorzugehen, indem die Spezialeinheit RAB kurze Zeit nach dem Anruf des befreiten R. beim Transformatorenhaus erschienen ist. Der Beschwerdeführer seinerseits hat es unterlassen, die Behörden über die Bedrohung durch Gefolgsleute von W. zu informieren und dadurch ein angemessenes Handeln des Staates verunmöglicht. Die pauschalen Ausführungen auf Beschwerdeebene, wonach es sich bei Bangladesch um ein korruptes Staatssystem handle und er keine behördlichen Schutz hätte erwarten können, vermögen dabei weder eine Schutzunfähigkeit noch einen fehlenden Schutzwillen zu belegen. Allerdings ist nicht auszuschliessen, dass einzelne Polizisten korrupt sind und durchaus mit kriminellen Akteuren zusammen arbeiten. Aufgrund der bestehenden Aktenlage ist überdies davon auszugehen, dass der Beschwerdeführer keine begründete Furcht vor künftiger Verfolgung hat.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objektiven Betrachtungsweise zu erfolgen und ist andererseits durch das von der betroffenen Person bereits Erlebte und das Wissen um Konsequenzen in vergleichbaren Fällen zu ergänzen. Wer bereits Verfolgungsmassnahmen ausgesetzt war, hat objektive Gründe für eine ausgeprägtere (subjektive) Furcht. Die erlittene Verfolgung oder die begründete Furcht vor zukünftiger Verfolgung muss zudem sachlich und zeitlich kausal für die Ausreise aus dem Heimat- oder Herkunftsland und grundsätzlich auch im Zeitpunkt des Asylentscheides noch aktuell sein (EMARK 2005 Nr. 21 E. 7 S. 193 f. und dort zitierte Urteile). Aufgrund der Akten ergibt sich, dass der Beschwerdeführer in seinem Heimatland von den Gefolgsleuten von W. gesucht worden sei, er jedoch diese angebliche Suche nach ihm nicht hinreichend konkret geltend zu machen oder zu belegen vermochte. Betreffend des getöten Freundes E._______ konnte er zudem nicht glaubhaft darlegen, dass diese Tötung tatsächlich in direktem Zusammenhang mit der Suche nach dem Beschwerdeführer durch Gefolgsleute von W. stehe. Weiter dürfte die Aktualität einer künftigen Verfolgung kaum noch gegeben sein, zumal davon auszugehen ist, dass sich die kriminelle Bande von W. seit dessen Tötung vor viereinhalb Jahren aufgelöst haben dürfte. In Würdigung dieser Umstände kommt das Bundesverwaltungsgericht zum Schluss, dass nicht genügend objektive Anhaltspunkte dafür bestehen, dass der Beschwerdeführer mit beachtlicher Wahrscheinlichkeit eine künftige Verfolgung durch Gefolgsleute von W. zu befürchten hat. Schliesslich ist nicht davon auszugehen, dass die Schlägertruppe - wenn überhaupt noch - den Beschwerdeführer landesweit suchen wird, und dass somit für ihn eine inländische Fluchtalternative besteht; allenfalls in Chitagong, wo sich der vom Beschwerdeführer befreite Geschäftsmann befindet.</w:t>
      </w:r>
    </w:p>
    <w:p>
      <w:r>
        <w:rPr>
          <w:b/>
        </w:rPr>
        <w:t>E. 6.4</w:t>
      </w:r>
    </w:p>
    <w:p>
      <w:r>
        <w:t>Die beiden auf Beschwerdeebene beigebrachten Berichte des UK Home Office und des U.S. Department of State, welche keine konkreten Ausführungen betreffend den Beschwerdeführer beinhalten, sind ebenfalls nicht geeignet, eine begründete Furcht des Beschwerdeführers vor Verfolgung zu belegen.</w:t>
      </w:r>
    </w:p>
    <w:p>
      <w:r>
        <w:rPr>
          <w:b/>
        </w:rPr>
        <w:t>E. 6.5</w:t>
      </w:r>
    </w:p>
    <w:p>
      <w:r>
        <w:t>Zusammenfassend ergibt sich, dass die Vorinstanz die Flüchtlingseigenschaft mangels Relevanz der Asylvorbringen des Beschwerdeführers zurecht verneint hat. Es erübrigt sich deshalb, auf gewisse Unglaubhaftigkeitselemente, die sich aus den Vorbringen des Beschwerdeführers ergeben haben und die in der Instruktionsverfügung der ARK vom 19. Juni 2006 thematisiert worden sind, einzugehen und die Glaubhaftigkeit der Asylvorbringen kann offen gelassen werden.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und ist zu bestätigen (Art. 44 Abs. 1 AsylG; Art. 32 Bst. a der Asylverordnung 1 vom 11. August 1999;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FK).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Nach dem Gesagten ist der Vollzug der Wegweisung sowohl im Sinne der asyl- als auch der völkerrechtlichen Bestimmung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Abgesehen von Kopfschmerzen und Schlafproblemen in der Phase der Unterbringung in der Empfangsstelle (vgl. A42/S.2 und 2) sind den Akten keine Hinweise auf gesundheitliche Probleme des jungen Beschwerdeführers zu entnehmen. Aufgrund der Akten ist zudem davon auszugehen, dass er in seinem Heimatland über ein soziales Beziehungsnetz verfügt, welches ihm - sofern notwendig - bei einer dortigen Reintegration behilflich sein kann. Somit ist nicht davon auszugehen, der Beschwerdeführer gerate aus individuellen Gründen wirtschaftlicher, sozialer oder gesundheitlicher Natur in eine existenzbedrohende Situation. Ergänzend ist darauf hinzuweisen, dass allein wirtschaftliche Schwierigkeiten, von welchen die vor Ort ansässige Bevölkerung ebenfalls betroffen ist, wie beispielsweise Wohnungsnot oder ein schwierige Arbeitsmarktlage, für sich allein keine konkrete Gefährdung zu begründen vermögen (vgl. EMARK 2003 Nr. 24 E.5 S. 159). Zusammenfassend erweist sich ein Vollzug der Wegweisung als zumutbar.</w:t>
      </w:r>
    </w:p>
    <w:p>
      <w:r>
        <w:rPr>
          <w:b/>
        </w:rPr>
        <w:t>E. 8.5</w:t>
      </w:r>
    </w:p>
    <w:p>
      <w:r>
        <w:t>Es obliegt dem Beschwerdeführer, sich bei der zuständigen Vertretung des Heimatstaates die für eine Rückkehr notwendigen Reisedokumente zu beschaffen (Art. 8 Abs. 4 AsylG), weshalb der Vollzug der Wegweisung als möglich zu bezeichnen ist (Art. 83 Abs. 2 AuG).</w:t>
      </w:r>
    </w:p>
    <w:p>
      <w:r>
        <w:rPr>
          <w:b/>
        </w:rPr>
        <w:t>E. 8.6</w:t>
      </w:r>
    </w:p>
    <w:p>
      <w:r>
        <w:t>Die Vorinstanz hat den Vollzug der Wegweisung somit zu Recht als zulässig, zumutbar und möglich erachtet und eine Anordnung einer vorläufigen Aufnahme fällt ausser Betracht (Art. 83 Abs. 1-4 AuG).</w:t>
      </w:r>
    </w:p>
    <w:p>
      <w:r>
        <w:rPr>
          <w:b/>
        </w:rPr>
        <w:t>E. 9</w:t>
      </w:r>
    </w:p>
    <w:p>
      <w:r>
        <w:t>Zusammenfassend ergibt sich, dass die angefochtene Verfügung Bundesrecht nicht verletzt, den rechtserheblichen Sachverhalt richtig und vollständig feststellt und angemessen ist (Art. 106 AsylG) und die Beschwerde abzuweisen ist.</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Sie sind mit dem am 18. Juli 2006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