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E-5797/2006 vom 15. Januar 2010</w:t>
      </w:r>
    </w:p>
    <w:p>
      <w:r>
        <w:t>Bundesverwaltungsgericht, 2010-01-15, FR</w:t>
      </w:r>
    </w:p>
    <w:p>
      <w:r>
        <w:rPr>
          <w:b/>
        </w:rPr>
        <w:t xml:space="preserve">Quelle: </w:t>
      </w:r>
      <w:r>
        <w:t>https://mcp.opencaselaw.ch/entscheid/bvger_E-5797_2006</w:t>
      </w:r>
    </w:p>
    <w:p>
      <w:r>
        <w:t>FR: TAF E-5797/2006 du 15 janvier 2010</w:t>
      </w:r>
    </w:p>
    <w:p>
      <w:r>
        <w:t>IT: TAF E-5797/2006 del 15 gennaio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fait valoir qu'il a connu des problèmes avec des personnes d'appartenance ethnique serbe lorsqu'il résidait dans son village d'origine, situé en République serbe. Or même à supposer que ces faits soient avérés et que les autorités de cette entité politique n'eussent pas été en mesure de lui apporter une protection suffisante contre les agissements de personnes privées, la qualité de réfugié ne pourrait lui être reconnue pour ce motif. En effet, il disposait dans ce cas - et disposerait du reste toujours - d'une possibilité de refuge interne en Bosnie et Herzégovine, par exemple dans la région de Tuzla, où il avait déjà vécu notamment de 1992 à septembre 2005 et avant son second départ du pays, sans y avoir été exposé à des préjudices de ce genre.</w:t>
      </w:r>
    </w:p>
    <w:p>
      <w:r>
        <w:rPr>
          <w:b/>
        </w:rPr>
        <w:t>E. 3.2</w:t>
      </w:r>
    </w:p>
    <w:p>
      <w:r>
        <w:t>L'intéressé a aussi invoqué les conditions de vie difficiles prévalant en Bosnie et Herzégovine (p. ex. difficultés à trouver un logement et un travail, impossibilité de financer les soins nécessités par son état de santé). Or, de tels problèmes ne sont pas déterminants dans ce contexte. Il s'agit d'éléments qui auraient dû être examinés dans le cadre de l'examen de l'exécution du renvoi, domaine où le Tribunal n'a plus à se prononcer, le procédure étant devenue sans objet en ce qui concerne cet aspect, le recourant ayant obtenu un permis B (cf. à ce sujet le consid. 4 ci-après).</w:t>
      </w:r>
    </w:p>
    <w:p>
      <w:r>
        <w:rPr>
          <w:b/>
        </w:rPr>
        <w:t>E. 3.3</w:t>
      </w:r>
    </w:p>
    <w:p>
      <w:r>
        <w:t>Il s'ensuit que le recours, en tant qu'il porte sur les questions de la non-reconnaissance de la qualité de réfugié et du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let. a de l'ordonnance 1 du 11 août 1999 sur l'asile relative à la procédure (OA 1, RS 142.311), lorsque le requérant d'asile dispose d'une autorisation de séjour ou d'établissement valable.</w:t>
      </w:r>
    </w:p>
    <w:p>
      <w:r>
        <w:rPr>
          <w:b/>
        </w:rPr>
        <w:t>E. 4.2</w:t>
      </w:r>
    </w:p>
    <w:p>
      <w:r>
        <w:t>En l'espèce, le Tribunal constate que le recourant est désormais au bénéfice d'une autorisation de séjour (cf. let. J de l'état de fait).</w:t>
      </w:r>
    </w:p>
    <w:p>
      <w:r>
        <w:rPr>
          <w:b/>
        </w:rPr>
        <w:t>E. 4.3</w:t>
      </w:r>
    </w:p>
    <w:p>
      <w:r>
        <w:t>Partant, le recours est devenu sans objet s'agissant du renvoi, et, a fortiori, également en ce qui concerne l'exécution de cette mesure.</w:t>
      </w:r>
    </w:p>
    <w:p>
      <w:r>
        <w:rPr>
          <w:b/>
        </w:rPr>
        <w:t>E. 5</w:t>
      </w:r>
    </w:p>
    <w:p>
      <w:r>
        <w:t>En l'occurrence, l'intéressé a succombé s'agissant des questions de l'asile et de la qualité de réfugié (cf. consid. 3 ci-avant), de sorte que les frais de procédure relatifs à ces points doivent être mis à sa charge (art. 63 al. 1 PA). Il en va de même de ceux en rapport avec les questions du renvoi et de l'exécution de cette mesure. En effet, la présente procédure est devenue sans objet s'agissant de ces aspects (cf. consid. 4 ci-avant) non pas en raison des mérites du recours, mais en raison de la délivrance au recourant, par l'autorité cantonale compétente, d'une autorisation de séjour en raison de son mariage, fait extérieur à la présente procédure (art. 5 phr.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