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E-5794/2011 vom 2. Juli 2013</w:t>
      </w:r>
    </w:p>
    <w:p>
      <w:r>
        <w:t>Bundesverwaltungsgericht, 2013-07-02, DE</w:t>
      </w:r>
    </w:p>
    <w:p>
      <w:r>
        <w:rPr>
          <w:b/>
        </w:rPr>
        <w:t xml:space="preserve">Quelle: </w:t>
      </w:r>
      <w:r>
        <w:t>https://mcp.opencaselaw.ch/entscheid/bvger_E-5794_2011</w:t>
      </w:r>
    </w:p>
    <w:p>
      <w:r>
        <w:t>FR: TAF E-5794/2011 du 2 juillet 2013</w:t>
      </w:r>
    </w:p>
    <w:p>
      <w:r>
        <w:t>IT: TAF E-5794/2011 del 2 luglio 2013</w:t>
      </w:r>
    </w:p>
    <w:p>
      <w:pPr>
        <w:pStyle w:val="Heading2"/>
      </w:pPr>
      <w:r>
        <w:t>Regeste</w:t>
      </w:r>
    </w:p>
    <w:p>
      <w:r>
        <w:t>Aufhebung vorläufige Aufnahme (Asyl)</w:t>
      </w:r>
    </w:p>
    <w:p>
      <w:pPr>
        <w:pStyle w:val="Heading2"/>
      </w:pPr>
      <w:r>
        <w:t>Erwägungen</w:t>
      </w:r>
    </w:p>
    <w:p>
      <w:r>
        <w:rPr>
          <w:b/>
        </w:rPr>
        <w:t>E. 1.1</w:t>
      </w:r>
    </w:p>
    <w:p>
      <w:r>
        <w:t>Das Bundesverwaltungsgericht entscheidet endgültig über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112 Abs. 1 AuG i.V.m. Art. 49 des Bundesgesetzes vom 20. Dezember 1968 über das Verwaltungsverfahren [VwVG, SR 172.021]).</w:t>
      </w:r>
    </w:p>
    <w:p>
      <w:r>
        <w:rPr>
          <w:b/>
        </w:rPr>
        <w:t>E. 2.1</w:t>
      </w:r>
    </w:p>
    <w:p>
      <w:r>
        <w:t>Gemäss Art. 84 Abs. 1 AuG überprüft das BFM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(Art. 83 Abs. 3 AuG) und es der ausländischen Person auch zumutbar (Art. 83 Abs. 4 AuG) und möglich ist (Art. 83 Abs. 2 AuG) ist, sich rechtmässig in ihren Heimat-, in den Herkunfts- oder in einen Drittstaat zu begeben.</w:t>
      </w:r>
    </w:p>
    <w:p>
      <w:r>
        <w:rPr>
          <w:b/>
        </w:rPr>
        <w:t>E. 2.2</w:t>
      </w:r>
    </w:p>
    <w:p>
      <w:r>
        <w:t>Das Vorbringen der Beschwerdeführerin, sie sei LTTE-Mitglied gewesen, war bereits Gegenstand des ordentlichen Asylverfahrens; das BFM hat dieses Vorbringen als nicht glaubhaft gemacht gewürdigt. Nachdem die Verfügung des BFM vom 1. Oktober 2009 unangefochten in Rechtskraft erwuchs, steht vorliegend fest, dass die Beschwerdeführerin die Flüchtlingseigenschaft nicht erfüllt, weshalb das in Art. 5 des Asylgesetzes vom 26. Juni 1998 (AsylG, SR 142.31) verankerte Prinzip des flüchtlingsrechtlichen Non-Refoulements im vorliegenden Verfahren keine Anwendung findet und die Überprüfung der geltend gemachten Asylgründe nicht mehr Gegenstand dieses Beschwerdeverfahrens bildet.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3.2.1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3.2.2</w:t>
      </w:r>
    </w:p>
    <w:p>
      <w:r>
        <w:t>Wie bereits in Erwägung 2.2 vorstehend ausgeführt, kann das in Art. 5 AsylG verankerte Prinzip des flüchtlingsrechtlichen Non-Refoule-ments im vorliegenden Verfahren keine Anwendung finden. Eine Rückkehr der Beschwerdeführerin und ihrer Kinder nach Sri Lanka ist demnach unter dem Aspekt von Art. 5 AsylG rechtmässig. Sodann ergeben sich weder aus den Aussagen der Beschwerdeführerin (oder ihres Ehemannes) noch aus den Akten Anhaltspunkte dafür, dass sie für den Fall einer Ausschaffung in ihr Heimatland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nicht gelungen. Da sie mit ihren Kindern gemeinsam mit ihrem Ehemann beziehungsweise Vater, dessen Beschwerde gegen die Ablehnung seines Asylgesuches mit Urteil heutigen Datums abgewiesen wird, nach Sri Lanka zurückkehren kann, besteht für sie nicht die erhöhte Gefahr, welche sie als alleinstehende Frau (und Familienoberhaupt) mit Kindern allenfalls zu gewärtigen hätte. Sie gehört somit keiner in Bezug auf die Flüchtlingseigenschaft relevanten Risikogruppe an, und es ist nicht davon auszugehen, ihr drohe im Rahmen der routinemässigen Überprüfung bei der Rückkehr diesbezüglich eine unmenschliche Behandlung. Die allgemeine Menschenrechtssituation in Sri Lanka lässt den Wegweisungsvollzug zum heutigen Zeitpunkt (bei allen ihren Mängeln) ebenfalls nicht als unzulässig erscheinen (vgl. BVGE 2011/24 E. 10.4.2). Aufgrund der vorstehenden Erwägungen erübrigt sich eine Auseinandersetzung mit den diesbezüglichen Entgegnungen in der Beschwerde, weil diese nicht geeignet sind, eine andere Beurteilung herbeizuführen. Nach dem Gesagten ist der Vollzug der Wegweisung sowohl im Sinne der asyl- als auch der völkerrechtlichen Bestimmungen zulässig.</w:t>
      </w:r>
    </w:p>
    <w:p>
      <w:r>
        <w:rPr>
          <w:b/>
        </w:rPr>
        <w:t>E. 3.3.1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3.3.2</w:t>
      </w:r>
    </w:p>
    <w:p>
      <w:r>
        <w:t>Das Bundesverwaltungsgericht nahm im Grundsatzurteil BVGE 2011/24 eine umfassende Analyse der Situation in Sri Lanka vor. Danach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3.3.3</w:t>
      </w:r>
    </w:p>
    <w:p>
      <w:r>
        <w:t>Die Beschwerdeführerin stammt eigenen Angaben zufolge aus F._______, einem Dorf in der Nähe von G._______. Sie habe (...) im Vanni-Gebiet für die LTTE gearbeitet, danach sei sie nach D._______ gezogen, wo sie später geheiratet und ihre beiden Töchter bekommen habe. Da sie die Nordprovinz vor Beendigung des Bürgerkrieges verlassen hat, sind die aktuellen Lebens- und Wohnverhältnisse sorgfältig abzuklären. Gemäss den Aussagen der Beschwerdeführerin im Asylverfahren leben ihre Eltern, ihre beiden Brüder und eine Schwester sowie weitere Verwandte in F._______ (vgl.Akten BFM A1/11 S. 3, A15/21 S. 9 f.). Im Verfahren betreffend Aufhebung der vorläufigen Aufnahme hat sie diesbezüglich keine anderen Angaben gemacht, und die Folgerung der Vorinstanz, sie verfüge in der Heimat über ein tragfähiges familiäres Beziehungsnetz, nicht bestritten. Es ist deshalb davon auszugehen, dass ihre Familie nach wie vor in F._______ wohnhaft ist. Gemäss ihren Angaben besuchte sie während elf Jahren die Schule und war bei den LTTE im Schiffbau tätig (vgl. A1/11 S. 6, A15/21 S. 11), in D._______ habe sie nicht gearbeitet. Ihr Ehemann verfügt über Arbeitserfahrung als Chauffeur und kann in G._______ ebenfalls auf ein familiäres Beziehungsnetz zurückgreifen. Es ist daher anzunehmen, dass sich die gesunde Beschwerdeführerin und ihr Ehemann dank des beiderseits vorhandenen, als tragfähig zu bezeichnenden familiären Beziehungsnetzes in G._______ re­integrieren und auf Unterstützung zählen können. Die Unterbringung dürfte zumindest in der ersten Zeit durch die Familienangehörigen gewährleistet sein, weshalb die Wohnsituation als gesichert bezeichnet werden kann. Weiter ist davon auszugehen, dass der Ehemann - nötigenfalls mit familiärer Unterstützung - eine wirtschaftliche Existenz aufbauen und damit längerfristig das Fortkommen seiner Familie sichern kann. Angesichts des Alters der beiden Töchter und des vorhandenen familiären tragfähigen Beziehungsnetzes erscheint auch die allfällige Aufnahme einer Arbeit durch die Beschwerdeführerin möglich.</w:t>
      </w:r>
    </w:p>
    <w:p>
      <w:r>
        <w:rPr>
          <w:b/>
        </w:rPr>
        <w:t>E. 3.3.4</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mit weiteren Hinweisen). Die beiden Kinder (...) sind noch klein und entsprechend anpassungsfähig. Aufgrund des Alters ist nicht von einer Verwurzelung in der Schweiz und einer Verbundenheit mit den hiesigen Strukturen auszugehen, da die Sozialisierung in diesem Alter weitestgehend über die Kernfamilie erfolgt. Eine Traumatisierung ist durch die Rückkehr nach Sri Lanka nicht zu erwarten, zumal sie gemeinsam mit den Eltern erfolgt und diese in der Lage sein sollten, angemessen für das Wohl ihrer Kinder zu sorgen. Es besteht somit kein Anlass, aus Gründen des Kindeswohls von einem Wegweisungsvollzug abzusehen.</w:t>
      </w:r>
    </w:p>
    <w:p>
      <w:r>
        <w:rPr>
          <w:b/>
        </w:rPr>
        <w:t>E. 3.3.5</w:t>
      </w:r>
    </w:p>
    <w:p>
      <w:r>
        <w:t>Im Übrigen ist festzuhalten, dass auch ein Vollzug der Wegweisung nach D._______ nicht ausgeschlossen scheint, zumal die Beschwerdeführerin dort sechs Jahre lang gelebt haben will. Dass sie, wie sie anlässlich der Anhörung im Asylverfahren angab, ausser einem befreundeten Ehepaar und ein paar Kollegen des Ehemannes keine Bekannten gehabt habe (vgl. A15/21 S. 8 f.), erscheint unwahrscheinlich. Vielmehr ist davon auszugehen, dass sie über ein bekanntschaftliches Beziehungsnetz verfügt. Letztlich kann die Frage der Zumutbarkeit des Wegweisungsvollzuges nach D._______ jedoch offen bleiben, da es für die Beschwerdeführerin und ihre Kinder zumutbar ist, nach G._______ zurückzukehren.</w:t>
      </w:r>
    </w:p>
    <w:p>
      <w:r>
        <w:rPr>
          <w:b/>
        </w:rPr>
        <w:t>E. 3.3.6</w:t>
      </w:r>
    </w:p>
    <w:p>
      <w:r>
        <w:t>Nach dem Gesagten erweist sich der Vollzug der Wegweisung auch als zumutbar.</w:t>
      </w:r>
    </w:p>
    <w:p>
      <w:r>
        <w:rPr>
          <w:b/>
        </w:rPr>
        <w:t>E. 3.4</w:t>
      </w:r>
    </w:p>
    <w:p>
      <w:r>
        <w:t>Schliesslich obliegt es den Beschwerdeführerin,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3.5</w:t>
      </w:r>
    </w:p>
    <w:p>
      <w:r>
        <w:t>Zusammenfassend hat die Vorinstanz den Wegweisungsvollzug zu Recht als zulässig, zumutbar und möglich erachtet. Nach dem Gesagten fällt eine Anordnung der vorläufigen Aufnahme ausser Betracht (Art. 83 Abs. 1-4 AuG).</w:t>
      </w:r>
    </w:p>
    <w:p>
      <w:r>
        <w:rPr>
          <w:b/>
        </w:rPr>
        <w:t>E. 4</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5</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