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E-5793/2023 vom 1. April 2026</w:t>
      </w:r>
    </w:p>
    <w:p>
      <w:r>
        <w:t>Bundesverwaltungsgericht, 2026-04-01, FR</w:t>
      </w:r>
    </w:p>
    <w:p>
      <w:r>
        <w:rPr>
          <w:b/>
        </w:rPr>
        <w:t xml:space="preserve">Quelle: </w:t>
      </w:r>
      <w:r>
        <w:t>https://mcp.opencaselaw.ch/entscheid/bvger_E-5793_2023</w:t>
      </w:r>
    </w:p>
    <w:p>
      <w:r>
        <w:t>FR: TAF E-5793/2023 du 1 avril 2026</w:t>
      </w:r>
    </w:p>
    <w:p>
      <w:r>
        <w:t>IT: TAF E-5793/2023 del 1 aprile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considère que les faits invoqués par A._______ à l'appui de sa demande d'asile, indépendamment de leur vraisemblance, ne sont pas pertinents en matière d'asile.</w:t>
      </w:r>
    </w:p>
    <w:p>
      <w:r>
        <w:rPr>
          <w:b/>
        </w:rPr>
        <w:t>E. 4.2</w:t>
      </w:r>
    </w:p>
    <w:p>
      <w:r>
        <w:t>Force est d'abord de constater que l'intéressé a quitté son pays d'origine en mars 2023, par avion, légalement, sans connaître de difficultés et sans alléguer la survenance peu auparavant d'un évènement particulier qui l'aurait amené à fuir la Turquie (cf. p-v de l'audition du 31 mai 2023, R 84). Comme motif de fuite, le recourant s'est borné à invoquer l'éventualité d'être arrêté, comme le furent - selon ses dires - des amis, après avoir publié des messages sur « L._______ » ainsi que partagé des vidéos critiques envers les autorités et, plus particulièrement, envers le président de la République de Turquie, Recep Tayyip Erdogan, notamment à la suite du tremblement de terre survenu au Kurdistan en février 2023 (cf. let. D. et H.). Ce motif de fuite est purement hypothétique et ne repose sur aucun élément objectif et concret, précision étant faite que son engagement en qualité de sympathisant du HDP, récent et de modeste intensité, se limitant à une aide de nature logistique et/ou organisationnelle (cf. let. D. ; également p-v de l'audition, R 122, R 125 et R 126), ne suffit pas à l'exposer à des risques graves. Par ailleurs, force est de constater que la majeure partie des vingt-quatre pages de contributions sur les « réseaux sociaux » versées en cause remonte à la période d'avril et mai 2023 (« Nisan » / « Nis » et « Mayis » / « May » en langue turque), alors que le requérant se trouvait déjà en Suisse ; seules les huit ou neuf premières pages contiennent des messages - datés du mois de février 2023 (« Subat » / « Sub » en langue turque) - antérieurs à sa fuite du pays. Certes, au regard de leur contenu, il ne peut être exclu que le requérant soit poursuivi pour injures, respectivement outrage envers le président de la République. Selon la jurisprudence du Tribunal, une poursuite pénale ou une condamnation pour une infraction de droit commun constitue une mesure légitime de la part des autorités étatiques. Il n'en va autrement uniquement lorsque la poursuite pénale ou la condamnation, apparemment motivée par un délit de droit commun, tend en réalité à poursuivre ou à punir une personne en raison de sa race, de sa religion, de sa nationalité, de son appartenance à un groupe social déterminé ou ses opinions politiques au sens de l'art. 3 LAsi, ou lorsque la situation de la personne poursuivie risque d'être aggravée par l'une de ces raisons (cf. ATAF 2014/21 consid. 5.3). 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ou en la punissant d'une manière démesurément sévère ou plus sévèrement qu'une autre dans la même situation (« malus politique »), soit encore en l'exposant - en sus des mesures de contrainte en soi légitimes - à de graves préjudices telle que la torture (cf. ATAF 2014/21 consid. 5.2 ; 2013/25 consid. 5.1 ; 2011/10 consid. 4.3). La Suisse connaît d'ailleurs également des dispositions pénales sanctionnant les déclarations injurieuses ou insultantes (art. 177 du Code pénal suisse [CP, RS 311.0 ; injure ; peine encourue : amende], art. 173 CP [diffamation ; peine encourue : amende] ou art. 174 CP [calomnie ; peine encourue : peine privative de liberté de trois ans au plus ou peine pécuniaire]). Dans ces circonstances, la poursuite pénale dont l'intéressé pourrait faire l'objet en l'espèce n'apparaît pas en soi illégitime (cf. arrêt du Tribunal E-87/2023 du 29 mars 2023 consid. 6.2.2). Certes, le nombre de plaintes pénales pour insulte à l'égard du président de la République de Turquie a fortement augmenté depuis l'entrée en fonction de Recep Tayyip Erdogan et a probablement une origine politique. Cela dit, compte tenu du nombre relativement faible de mises en accusation (un quart jusqu'à un tiers des cas) et, en particulier, de condamnations (moins de 10 %) dans le cadre de procédures pénales ouvertes sur la base de l'art. 299 du Code pénal de la République de Turquie, le Tribunal a retenu, dans plusieurs arrêts récents, qu'il n'y avait aucune raison de supposer que les personnes concernées par de telles procédures soient en principe menacées d'un « malus politique » pertinent en matière d'asile (cf. arrêt de référence du Tribunal E-4103/2024 du 8 novembre 2024 consid. 8 ; notamment arrêts E-5669/2023 du 2 février 2026 consid. 4.2.2 ; D-3991/2025 du 22 juillet 2025 p. 9 ; E-6485/2023 du 2 juin 2025 consid. 5). Au-delà, les attitudes chicanières et les tracasseries qu'il dit avoir subies durant sa scolarité et son service militaire ainsi qu'une prétendue dénonciation pour avoir écouté de la musique kurde alors qu'il se trouvait dans son véhicule n'atteignent manifestement pas l'intensité requise par l'art. 3 LAsi et ne sont par conséquent pas pertinentes en matière d'asile (concernant l'absence de persécutions collectives envers les Kurdes en Turquie, cf. notamment arrêts du Tribunal E-2780/2024 du 23 février 2024 consid. 4.2 ; E-5624/2024 du 29 octobre 2025 consid. 3.4 et réf. cit. ; E-57/2025 du 16 octobre 2025 p. 9 ; E-2979/2024 du 1er juillet 2024 p. 8 ; E-5954/2023 du 23 janvier 2024 consid. 4.2).</w:t>
      </w:r>
    </w:p>
    <w:p>
      <w:r>
        <w:rPr>
          <w:b/>
        </w:rPr>
        <w:t>E. 4.3.1</w:t>
      </w:r>
    </w:p>
    <w:p>
      <w:r>
        <w:t>Au stade du recours uniquement ainsi que dans le cadre des écritures subséquentes, A._______ a indiqué faire l'objet de quatre procédures pénales, trois pour insultes envers le président de la République de Turquie et une pour avoir fait de la propagande en faveur d'une organisation terroriste, ainsi que risquer, de ce fait, une lourde peine d'emprisonnement. Il évoque sa crainte d'être emprisonné et torturé en cas de retour en Turquie, soulignant ainsi le risque de subir des persécutions futures déterminantes en matière d'asile. A l'appui de cette allégation, le recourant a produit plusieurs documents, annexés à son recours et à sa réplique, à savoir une « décision d'émission d'un mandat d'amener » du 25 mai 2023 (document B3 annexé au recours), un « mandat d'amener » du 26 mai 2023 (document B4 annexé au recours), une « requête de mandat d'arrêt » du 22 janvier 2024 (document B4 annexé à la réplique), un « mandat d'arrêt » du 22 janvier 2024 (document B6 annexé à la réplique), une « décision » non datée (document B5 annexé à la réplique) ainsi que deux lettres d'une avocate turque au barreau de R._______, nommée S._______, toutes deux datées du 17 octobre 2023 (document B5 annexé au recours et pièce annexée à l'écriture du 30 septembre 2024 [date du timbre postal ; cf. let. P.]).</w:t>
      </w:r>
    </w:p>
    <w:p>
      <w:r>
        <w:rPr>
          <w:b/>
        </w:rPr>
        <w:t>E. 4.3.2</w:t>
      </w:r>
    </w:p>
    <w:p>
      <w:r>
        <w:t>A l'analyse des pièces produites, il y a d'abord lieu de constater que la lettre de l'avocate, sans en-tête, libellée à l'adresse de « l'autorité suisse concernée », fait état de quatre procédures - trois procédures prétendument ouvertes par le parquet de E._______ pour insulte au président de la République et une procédure ouverte par le parquet de R._______ pour propagande en faveur d'une organisation terroriste. Alors que la lettre fait mention de dossiers figurant en annexe, seuls deux autres documents ont été versés en cause, une « décision d'émission d'un mandat d'amener » et un « mandat d'amener », tous deux produits sous forme de copies uniquement, procédé n'empêchant nullement des manipulations (cf. arrêts du Tribunal D-2474/2025 du 14 août 2025 consid. 3.3 et réf. cit. ; E-1002/2024 du 4 mars 2024 p. 9 ; E-541/2024 du 16 février 2024 p. 8 ; E-5865/2022 du 27 décembre 2022 p. 10). Ces deux pièces ont trait au seul chef d'accusation de propagande en faveur d'une organisation terroriste et font mention d'une prétendue enquête du parquet portant la référence n° (...) dont il n'a jamais été fait mention dans la lettre de l'avocate. A l'analyse de ces deux documents, il convient de constater que, présentés comme officiels, ils n'ont pas été établis sur un papier à en-tête et apparaissent ainsi aisément falsifiables. La première pièce est présentée comme une « décision d'émission d'un mandat d'amener » et le seconde comme un « mandat d'amener » ; la première fait en substance état d'une décision d'un juge de paix, T._______, respectivement d'un tribunal, d'autoriser l'émission d'un mandat d'amener ; la seconde, établie par la même autorité, signée par les mêmes personnes, contient notamment un ordre de présenter le suspect au parquet de la République de R._______ dans les 24 heures ou à un autre parquet de la République et de libérer l'intéressé après sa comparution. Il est pour le moins singulier que ce dernier acte, par essence destiné à être porté à la connaissance des services de police pour qu'ils y donnent suite, ait été remis au requérant ou à son avocate (pour un cas similaire, cf. arrêt du Tribunal E-2154/2019 du 27 novembre 2023 consid. 3.2.3). Par ailleurs, force est de constater les divergences entre la lettre de l'avocate, d'une part, qui fait mention, citant le « mandat d'amener », de la probabilité très élevée que son client se fasse arrêter après sa comparution, et, d'autre part, la « décision d'émission du mandat d'amener » ainsi que du « mandat d'amener », qui précisent tous deux expressis verbis que l'intéressé doit être libéré après sa comparution. Sur le vu de ce qui précède, le Tribunal doute de l'authenticité de ces documents, à tout le moins de la « décision d'émission d'un mandat d'amener » et du « mandat d'amener », lesquels disposent d'une valeur probante très limitée, à plus forte raison qu'il est désormais notoire que de telles pièces peuvent être fabriquées ou obtenues par corruption (cf. arrêt du Tribunal E-1873/2023 du 18 septembre 2024 consid. 5.2).</w:t>
      </w:r>
    </w:p>
    <w:p>
      <w:r>
        <w:rPr>
          <w:b/>
        </w:rPr>
        <w:t>E. 4.3.3</w:t>
      </w:r>
    </w:p>
    <w:p>
      <w:r>
        <w:t>Cela étant, même en admettant que les documents produits au stade du recours sont authentiques et attestent bien l'ouverture à l'endroit du requérant de quatre procédures pénales, dont une pour le chef d'inculpation de propagande en faveur d'une organisation terroriste, ceux-ci ne permettent pas une appréciation différente de la situation. En effet, au regard des faits pour lesquels l'intéressé ferait l'objet d'enquêtes pénales - à savoir des publications sur un « réseau social » faites, pour la majeure partie d'entre elles, postérieurement à son départ de Turquie (cf. consid. 4.2), ce qui tend au demeurant à démontrer le caractère opportuniste de sa démarche - et compte tenu du profil politique peu marqué du requérant (cf. ibidem), il n'est pas vraisemblable qu'il puisse être considéré comme un activiste ou un opposant politique sérieux et qu'il soit de ce fait fondé à craindre une persécution déterminante en matière d'asile en cas de retour au pays (cf. arrêt de référence du Tribunal E-4103/2024 du 8 novembre 2024 consid. 8 ; notamment E-5669/2023 précité consid. 4.2.2 ; E-6485/2023 précité consid. 5 ; arrêt du Tribunal E-172/2025 du 25 mars 2025 p. 6).</w:t>
      </w:r>
    </w:p>
    <w:p>
      <w:r>
        <w:rPr>
          <w:b/>
        </w:rPr>
        <w:t>E. 4.4</w:t>
      </w:r>
    </w:p>
    <w:p>
      <w:r>
        <w:t>Pour le reste,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4.5</w:t>
      </w:r>
    </w:p>
    <w:p>
      <w:r>
        <w:t>Il s'ensuit que le recours doit être rejeté, en tant qu'il conteste le refus de la reconnaissance de la qualité de réfugié et de l'octroi de l'asile ainsi qu'il conclut au renvoi de la cause à l'autorité intimée.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 RS 142.311), lorsque notamment le requérant d'asile est titulaire d'une autorisation de séjour ou d'établissement valable.</w:t>
      </w:r>
    </w:p>
    <w:p>
      <w:r>
        <w:rPr>
          <w:b/>
        </w:rPr>
        <w:t>E. 5.2</w:t>
      </w:r>
    </w:p>
    <w:p>
      <w:r>
        <w:t>En l'espèce, le recourant a épousé, le 15 août 2025, O._______, une compatriote titulaire d'une autorisation d'établissement (permis C valable jusqu'au [...] décembre 2030) et bénéficiant de ce fait d'un droit de présence assurée en Suisse. A._______ a dès lors droit à la délivrance d'une autorisation de séjour, en application et aux conditions de l'art. 43 al. 1 de la loi fédérale du 16 décembre 2005 sur les étrangers et l'intégration [LEI ; RS 142.20]). L'exception à la règle générale du renvoi énoncée à l'art. 32 al. 1 let. a OA 1 est ainsi susceptible de trouver application. En effet, d'après la jurisprudence, l'expression « est titulaire d'une autorisation de séjour ou d'établissement valable », utilisée dans cette disposition, doit être interprétée en ce sens que le renvoi de Suisse ne peut pas être prononcé lorsque le requérant d'asile peut prétendre à l'obtention d'une autorisation de séjour au sens de l'art. 83 let. c ch. 2 LTF ou de l'art. 14 al. 1 LAsi (cf. ATAF 2013/37 consid. 4.4.2 et jurisp. cit.).</w:t>
      </w:r>
    </w:p>
    <w:p>
      <w:r>
        <w:rPr>
          <w:b/>
        </w:rPr>
        <w:t>E. 5.3</w:t>
      </w:r>
    </w:p>
    <w:p>
      <w:r>
        <w:t>Cela étant, l'autorité saisie d'un recours contre une décision du SEM fondée sur l'art. 44 LAsi annule cette décision aux trois conditions cumulatives suivantes : (1) elle estime à titre préjudiciel que le recourant peut prétendre à une autorisation de séjour ; (2) le recourant a saisi l'autorité cantonale compétente d'une demande d'autorisation de séjour et (3) sa demande est encore pendante (cf. ATAF 2013/37 consid. 4.4.2.2).</w:t>
      </w:r>
    </w:p>
    <w:p>
      <w:r>
        <w:rPr>
          <w:b/>
        </w:rPr>
        <w:t>E. 5.4</w:t>
      </w:r>
    </w:p>
    <w:p>
      <w:r>
        <w:t>En l'espèce, A._______ remplit ces conditions. En effet, il appert qu'une requête d'autorisation de séjour a bien été déposée, le 2 octobre 2025, auprès du Service des migrations du canton de J._______ et que celui-ci a bien enregistré ladite demande, suspendant la procédure jusqu'à droit connu sur la procédure d'asile ouverte par le requérant (cf. let. T.).</w:t>
      </w:r>
    </w:p>
    <w:p>
      <w:r>
        <w:rPr>
          <w:b/>
        </w:rPr>
        <w:t>E. 5.5</w:t>
      </w:r>
    </w:p>
    <w:p>
      <w:r>
        <w:t>Partant, la décision du SEM du 18 septembre 2023 doit être annulée, en tant qu'elle porte sur le principe du renvoi et son exécution (chiffres 3 à 5 du dispositif de la décision attaquée), de sorte que le recours est considéré comme étant admis sur ces points.</w:t>
      </w:r>
    </w:p>
    <w:p>
      <w:r>
        <w:rPr>
          <w:b/>
        </w:rPr>
        <w:t>E. 6</w:t>
      </w:r>
    </w:p>
    <w:p>
      <w:r>
        <w:t>Le recourant sollicite l'assistance judiciaire partielle (cf. let. J.).</w:t>
      </w:r>
    </w:p>
    <w:p>
      <w:r>
        <w:rPr>
          <w:b/>
        </w:rPr>
        <w:t>E. 6.1</w:t>
      </w:r>
    </w:p>
    <w:p>
      <w:r>
        <w:t>En vertu de l'art. 65 al. 1 PA, qui concrétise, en procédure administrative, l'art. 29 al. 3 Cst. (RS 101), la partie qui ne dispose pas de ressources suffisantes et dont les conclusions ne paraissent pas d'emblée vouées à l'échec est, à sa demande, dispensée par l'autorité de recours, son président ou le juge instructeur de payer les frais de procédure. Pour déterminer l'indigence (cf. ATF 141 III 369 consid. 4.1),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ainsi que les engagements financiers auxquels il ne peut échapper (cf. ATF 135 I 221 consid. 5.1 ; arrêt du Tribunal fédéral 5A_10/2023 du 24 janvier 2013 consid. 3.2). La part des ressources excédant ce qui est nécessaire à la couverture des besoins personnels doit être comparée, dans chaque cas, aux frais prévisibles de la procédure pour laquelle l'assistance judiciaire est demandée (cf. ATF 141 III 369 consid. 4.1).</w:t>
      </w:r>
    </w:p>
    <w:p>
      <w:r>
        <w:rPr>
          <w:b/>
        </w:rPr>
        <w:t>E. 6.2</w:t>
      </w:r>
    </w:p>
    <w:p>
      <w:r>
        <w:t>En l'espèce, invité à remplir le formulaire « Demande d'assistance judiciaire » afin que le Tribunal puisse déterminer sa situation financière, notamment les revenus provenant de son activité, entamée en avril 2025, pour le compte de la société U._______, à V._______, le recourant, qui supporte la charge de la preuve s'agissant de sa situation financière, n'a donné aucune suite à cette sollicitation (cf. let. Q.), violant par conséquent son obligation de collaborer à l'établissement des faits pertinents de la cause (art. 13 PA ; sur ce qui précède, cf. Jean-Maurice Frésard, in : F. Bellanger / J. Candrian / M. Hirsig-Vouilloz, Loi fédérale sur la procédure administrative, Commentaire Romand, 2024, ad art. 65 n° 64).</w:t>
      </w:r>
    </w:p>
    <w:p>
      <w:r>
        <w:rPr>
          <w:b/>
        </w:rPr>
        <w:t>E. 6.3</w:t>
      </w:r>
    </w:p>
    <w:p>
      <w:r>
        <w:t>Faute de pouvoir constater l'éventuelle indigence du recourant, le Tribunal rejette la requête d'assistance judiciaire partielle déposée simultanément au recours en date du 23 octobre 2023.</w:t>
      </w:r>
    </w:p>
    <w:p>
      <w:r>
        <w:rPr>
          <w:b/>
        </w:rPr>
        <w:t>E. 7</w:t>
      </w:r>
    </w:p>
    <w:p>
      <w:r>
        <w:t>Compte tenu de l'issue de la cause et à la suite du rejet de la demande d'assistance judiciaire partielle (cf. consid. 6), il y a lieu de mettre des frais de procédure partiels, d'un montant de 375 francs, à la charge du recourant, conformément aux art. 63 al. 1 PA ainsi que 2 et 3 let. b du règlement du 21 février 2008 concernant les frais, dépens et indemnités fixés par le Tribunal administratif fédéral (FITAF ; RS 173.320.0).</w:t>
      </w:r>
    </w:p>
    <w:p>
      <w:r>
        <w:rPr>
          <w:b/>
        </w:rPr>
        <w:t>E. 8.1</w:t>
      </w:r>
    </w:p>
    <w:p>
      <w:r>
        <w:t>Ayant obtenu partiellement gain de cause, A._______ a droit à des dépens partiels, à la charge de l'autorité intimée, pour les frais indispensables occasionnés par la présente procédure (art. 64 al. 1 PA, en relation avec l'art. 7 al. 2 FITAF). En l'absence de décompte de prestations, ceux-ci sont fixés sur la base du dossier (art. 14 al. 2 FITAF). Conformément à l'art. 10 al. 2 FITAF, le tarif horaire des mandataires professionnels n'exerçant pas la profession d'avocat est de 100 francs au moins et 300 francs au plus. En outre, seuls les frais nécessaires sont indemnisés (art. 8 al. 2 FITAF).</w:t>
      </w:r>
    </w:p>
    <w:p>
      <w:r>
        <w:rPr>
          <w:b/>
        </w:rPr>
        <w:t>E. 8.2</w:t>
      </w:r>
    </w:p>
    <w:p>
      <w:r>
        <w:t>En l'occurrence, le Tribunal fixe les dépens partiels ex aequo et bono, en se basant sur le dossier de la cause. A ce propos, il tient à relever qu'à l'analyse de ce dernier, le mandataire de A._______, Necmettin Sahin, bien qu'ayant conclu à l'illicéité, à l'inexigibilité et à l'impossibilité de l'exécution du renvoi (cf. let. J.), n'a développé aucune argumentation sur les questions du renvoi et l'exécution du renvoi, celles-ci ayant été thématisées par l'épouse du recourant, O._______, au travers des écritures qu'elle a déposées les 22 décembre 2025 - spontanément - et 11 février 2026 - sur requête du juge en charge de l'instruction -, accompagnées de nombreuses pièces justificatives. Necmettin Sahin s'est quant à lui borné, dans son mémoire de recours et dans la réplique (cf. let. J. et P.), à soutenir diverses allégations en lien avec la qualité de réfugié et l'octroi de l'asile, questions sur lesquelles le recourant a été entièrement débouté. Sur le vu de ce qui précède, les dépens partiels sont fixés à un montant, limité compte tenu des circonstances, de 300 francs, à charge de l'autorité intimée.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