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E-5787/2022 vom 8. Dezember 2022</w:t>
      </w:r>
    </w:p>
    <w:p>
      <w:r>
        <w:t>Bundesverwaltungsgericht, 2022-12-08, DE</w:t>
      </w:r>
    </w:p>
    <w:p>
      <w:r>
        <w:rPr>
          <w:b/>
        </w:rPr>
        <w:t xml:space="preserve">Quelle: </w:t>
      </w:r>
      <w:r>
        <w:t>https://mcp.opencaselaw.ch/entscheid/bvger_E-5787_2022_d20221208</w:t>
      </w:r>
    </w:p>
    <w:p>
      <w:r>
        <w:t>FR: TAF E-5787/2022 du 8 décembre 2022</w:t>
      </w:r>
    </w:p>
    <w:p>
      <w:r>
        <w:t>IT: TAF E-5787/2022 del 8 dicembre 2022</w:t>
      </w:r>
    </w:p>
    <w:p>
      <w:pPr>
        <w:pStyle w:val="Heading2"/>
      </w:pPr>
      <w:r>
        <w:t>Regeste</w:t>
      </w:r>
    </w:p>
    <w:p>
      <w:r>
        <w:t>Nichteintreten auf Asylgesuch und Wegweisung (Dublin-Verfahren - Art. 31a Abs. 1 Bst. b AsylG) | Nichteintreten auf Asylgesuch und Wegweisung (Dublin-Verfahren); Verfügung des SEM vom 8. Dezember 2022</w:t>
      </w:r>
    </w:p>
    <w:p>
      <w:pPr>
        <w:pStyle w:val="Heading2"/>
      </w:pPr>
      <w:r>
        <w:t>Erwägungen</w:t>
      </w:r>
    </w:p>
    <w:p>
      <w:r>
        <w:rPr>
          <w:b/>
        </w:rPr>
        <w:t>E. 1.1</w:t>
      </w:r>
    </w:p>
    <w:p>
      <w:r>
        <w:t>Gemäss Art. 105 AsylG und Art. 31 VGG ist das Bundesverwaltungs- gericht zur Beurteilung von Beschwerden auf dem Gebiet des Asyls zu- ständig und entscheidet über diese in der Regel – und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E-5787/2022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 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Eine Durchsicht der Akten ergibt, dass die Vorinstanz die vom Beschwerdeführer vorgetragenen Erlebnisse in Kroatien in die Entscheid- findung hat einfliessen lassen und eine Einzelfallprüfung vorgenommen hat. Entgegen der vom Beschwerdeführer vertretenen Auffassung hat sie sich auch mit dem Risiko einer sogenannten Kettenabschiebung hinrei-</w:t>
      </w:r>
    </w:p>
    <w:p>
      <w:r>
        <w:t>E-5787/2022 Seite 6 chend auseinandergesetzt (vgl. Beschwerde S. 8 und angefochtene Verfü- gung S. 4 f.). Den Akten waren und sind – auch in medizinischer Hinsicht (vgl. SEM-Aktenstück A20/1) – keine Umstände zu entnehmen, aufgrund derer sich die Notwendigkeit weiterer sachverhaltlicher Abklärungen erge- ben hätte beziehungsweise würde.</w:t>
      </w:r>
    </w:p>
    <w:p>
      <w:r>
        <w:rPr>
          <w:b/>
        </w:rPr>
        <w:t>E. 5.2</w:t>
      </w:r>
    </w:p>
    <w:p>
      <w:r>
        <w:t>Die Rügen der unvollständigen und unrichtigen Ermittlung des Sach- verhalts sowie einer Verletzung der Begründungspflicht (bzw. insoweit des rechtlichen Gehörs) im Zusammenhang mit den Aufnahmebedingungen und dem kroatischen Asylsystem sind unbegründet. Der Eventualantrag auf Rückweisung der Sache an die Vorinstanz zur Neubeurteilung ist ab- zuweisen.</w:t>
      </w:r>
    </w:p>
    <w:p>
      <w:r>
        <w:rPr>
          <w:b/>
        </w:rPr>
        <w:t>E. 6</w:t>
      </w:r>
    </w:p>
    <w:p>
      <w:r>
        <w:t>Ein Abgleich der Fingerabdrücke des Beschwerdeführers mit der Fingerabdruck-Datenbank ergab, dass dieser am 17. Oktober 2022 in Kroatien ein Asylgesuch gestellt hatte. Das SEM ersuchte deshalb die kroatischen Behörden um Wiederaufnahme des Beschwerdeführers. Nachdem diese dem Gesuch um Rückübernahme innert der in Art. 25 Abs. 1 Dublin-III-VO festgelegten Frist zugestimmt haben, ist die Zustän- digkeit Kroatiens grundsätzlich gegeben. Daran ändert praxisgemäss auch der Umstand nichts, dass die Zustimmung gestützt auf die Bestimmung von Art. 20 Abs. 5 Dublin-III-VO erfolgte (vgl. hierzu etwa die Urteile BVGer E-4341/2022 vom 8. Dezember 2022 E. 4.3, D-5623/2022 vom 12. De- zember 2022 E. 5 oder F-5543/2022 vom 7. Dezember 2022 E. 3.4). Der Beschwerdeführer macht in der Beschwerdeschrift auch nicht mehr gel- tend, er habe in Kroatien kein Asylgesuch gestellt.</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Auch unter Berücksichtigung der vom Beschwerdeführer anlässlich des sogenannten Dublin-Gesprächs vom 22. November 2022 geschilder- ten und in der Beschwerdeschrift teilweise wiederholten Erlebnisse ist nicht davon auszugehen, Kroatien verstosse systematisch gegen seine vertrag- lichen Verpflichtungen. Die vom Beschwerdeführer für die Zeit seines Auf- enthaltes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7.4</w:t>
      </w:r>
    </w:p>
    <w:p>
      <w:r>
        <w:t>In der Beschwerdebegründung und in den vom Beschwerdeführer ein- gereichten Berichten werden insbesondere die sogenannten Push-backs thematisiert. Wegen dieser Ereignisse sieht sich Kroatien schon seit ge- raumer Zeit mit Vorwürfen konfrontiert. Wie in der angefochtenen Verfü- gung ausführlich und zutreffend festgestellt wird (vgl. dort S. 4 f.), stehen solche Ereignisse indessen offensichtlich in Zusammenhang mit illegalen Einreisen nach Kroatien insbesondere von Bosnien und Herzegowina so- wie von Serbien aus. Sie betreffen demnach die Aussengrenzen Kroatiens</w:t>
      </w:r>
    </w:p>
    <w:p>
      <w:r>
        <w:t>E-5787/2022 Seite 8 zu seinen Nachbarstaaten. Damit ist aber nichts zur vorliegend interessie- renden Situation der Rückkehr nach Kroatien nach Durchlaufen eines Dublin-Verfahrens gesagt (vgl. Urteil BVGer D-5299/2022 vom 30. Novem- ber 2022 E. 6.2). Bei einer Rücküberstellung nach Kroatien würde der Be- schwerdeführer auf legalem Weg in die Hauptstadt Zagreb überstellt. Die Vorinstanz hat eine Einzelfallprüfung vorgenommen und ist unter Ver- weis auf Abklärungen durch die Schweizer Botschaft in Kroatien zu Recht zum Schluss gekommen, dass Personen, welche im Rahmen eines Dublin- Verfahrens nach Kroatien zurückgeführt werden, nicht von der problemati- schen Push-back-Praxis betroffen sind (vgl. BVGer D-5299/2022 a.a.O.).</w:t>
      </w:r>
    </w:p>
    <w:p>
      <w:r>
        <w:rPr>
          <w:b/>
        </w:rPr>
        <w:t>E. 7.5</w:t>
      </w:r>
    </w:p>
    <w:p>
      <w:r>
        <w:t>Unter diesen Umständen ist die Anwendung von Art. 3 Abs. 2 Dublin- III-VO nicht gerechtfertigt.</w:t>
      </w:r>
    </w:p>
    <w:p>
      <w:r>
        <w:rPr>
          <w:b/>
        </w:rPr>
        <w:t>E. 7.6.1</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7.6.2</w:t>
      </w:r>
    </w:p>
    <w:p>
      <w:r>
        <w:t>Eine solche Situation ist vorliegend offenkundig nicht gegeben. Der Beschwerdeführer leidet gemäss Akten nicht an gesundheitlichen Beein- trächtigungen von einer Schwere, dass sie die Feststellung der Unzuläs- sigkeit im Sinn der restriktiven Rechtsprechung zu rechtfertigen vermöch- ten. Im Übrigen verfügt Kroatien über eine ausreichende medizinische Inf- rastruktur (vgl. BVGer D-5299/2022 a.a.O E. 7.2).</w:t>
      </w:r>
    </w:p>
    <w:p>
      <w:r>
        <w:t>E-5787/2022 Seite 9</w:t>
      </w:r>
    </w:p>
    <w:p>
      <w:r>
        <w:rPr>
          <w:b/>
        </w:rPr>
        <w:t>E. 7.6.3</w:t>
      </w:r>
    </w:p>
    <w:p>
      <w:r>
        <w:t>Nach dem Gesagten kann der Beschwerdeführer kein konkretes und ernsthaftes Risiko dartun, dass seine Überstellung nach Kroatien die Ver- letzung völkerrechtlicher Bestimmungen zur Folge hätte.</w:t>
      </w:r>
    </w:p>
    <w:p>
      <w:r>
        <w:rPr>
          <w:b/>
        </w:rPr>
        <w:t>E. 7.7.1</w:t>
      </w:r>
    </w:p>
    <w:p>
      <w:r>
        <w:t>An diesen Feststellungen vermag das Vorbringen des Beschwerde- führers nichts zu ändern, die kroatischen Behörden hätten ihn nicht in einer ihm verständlichen Sprache schriftlich über alle Aspekte des Asylverfah- rens informiert (vgl. Beschwerde S. 2 f.). Dies dürfte im Übrigen auch mit seiner Schilderung zu tun haben, er habe sich am ersten Tag nach der Einleitung des Asylverfahrens auf die Weiterreise in die Schweiz gemacht.</w:t>
      </w:r>
    </w:p>
    <w:p>
      <w:r>
        <w:rPr>
          <w:b/>
        </w:rPr>
        <w:t>E. 7.7.2</w:t>
      </w:r>
    </w:p>
    <w:p>
      <w:r>
        <w:t>Soweit er geltend macht, die kroatische Polizei habe sein Mobil- telefon beschädigt (vgl. a.a.O. und Protokoll A14/3 S. 2), wird er diesen Vorwurf bei den zuständigen kroatischen Behörden deponieren können.</w:t>
      </w:r>
    </w:p>
    <w:p>
      <w:r>
        <w:rPr>
          <w:b/>
        </w:rPr>
        <w:t>E. 7.7.3</w:t>
      </w:r>
    </w:p>
    <w:p>
      <w:r>
        <w:t>Schliesslich bleibt festzuhalten, dass der männliche Beschwerdefüh- rer aus "Art. 2 und 3 CEDAW" (vgl. Beschwerde S. 7) nichts zu seinen Gunsten ableiten kann, handelt sich dabei doch um das Übereinkommen zur Beseitigung jeder Form von Diskriminierung der Frau (Convention on the Elimination of All Forms of Discrimination against Women; SR 0.108).</w:t>
      </w:r>
    </w:p>
    <w:p>
      <w:r>
        <w:rPr>
          <w:b/>
        </w:rPr>
        <w:t>E. 7.8</w:t>
      </w:r>
    </w:p>
    <w:p>
      <w:r>
        <w:t>Gemäss Praxis des Bundesverwaltungsgerichts verfügt die Vorinstanz bei der Anwendung von Art. 29a Abs. 3 der Asylverordnung 1 vom 11. Au- gust 1999 (AsylV 1, SR 142.311)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7.9</w:t>
      </w:r>
    </w:p>
    <w:p>
      <w:r>
        <w:t>Es liegen somit weder völkerrechtliche Vollzugshindernisse vor, die die Schweiz zum Selbsteintritt verpflichten würden, noch Rechtsfehler bei der Ermessensbetätigung. Es liegt folglich kein Grund für einen Selbsteintritt der Schweiz gemäss Art. 17 Dublin-III-VO vor. Kroatien bleibt somit zustän- diger Mitgliedstaat gemäss Dublin-III-VO. 8. Die Vorinstanz ist nach dem Gesagten zu Recht in Anwendung von Art. 31a Abs. 1 Bst. b AsylG auf das Asylgesuch des Beschwerdeführers nicht ein- getreten. Da der Beschwerdeführer nicht im Besitz einer gültigen Aufent- halts- oder Niederlassungsbewilligung ist, wurde die Überstellung nach</w:t>
      </w:r>
    </w:p>
    <w:p>
      <w:r>
        <w:t>E-5787/2022 Seite 10 Kroatien in Anwendung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 schwerde ist folglich abzuweisen.</w:t>
      </w:r>
    </w:p>
    <w:p>
      <w:r>
        <w:rPr>
          <w:b/>
        </w:rPr>
        <w:t>E. 8</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w:t>
      </w:r>
    </w:p>
    <w:p>
      <w:r>
        <w:t>E-5787/2022 Seite 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Die Vorinstanz hat im Sinn der Praxis des Bundesverwaltungsgerichts zutreffend dargelegt, dass aktuell, auch unter Würdigung von kritischen Berichten nationaler und internatio- 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Sätze 2 und 3 Dublin-III-VO aufweisen (vgl. dazu die oben zitierten Urteile BVGer E-4341/2022 E. 6.3, D-5623/2022 E. 6.1 und F-5543/2022 E. 4).</w:t>
      </w:r>
    </w:p>
    <w:p>
      <w:r>
        <w:rPr>
          <w:b/>
        </w:rPr>
        <w:t>E. 10.1</w:t>
      </w:r>
    </w:p>
    <w:p>
      <w:r>
        <w:t>Der am 15. Dezember 2022 superprovisorisch angeordnete Vollzugs- 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E-5787/2022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