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E-5785/2016 vom 24. Oktober 2016</w:t>
      </w:r>
    </w:p>
    <w:p>
      <w:r>
        <w:t>Bundesverwaltungsgericht, 2016-10-24, DE</w:t>
      </w:r>
    </w:p>
    <w:p>
      <w:r>
        <w:rPr>
          <w:b/>
        </w:rPr>
        <w:t xml:space="preserve">Quelle: </w:t>
      </w:r>
      <w:r>
        <w:t>https://mcp.opencaselaw.ch/entscheid/bvger_E-5785_2016</w:t>
      </w:r>
    </w:p>
    <w:p>
      <w:r>
        <w:t>FR: TAF E-5785/2016 du 24 octobre 2016</w:t>
      </w:r>
    </w:p>
    <w:p>
      <w:r>
        <w:t>IT: TAF E-5785/2016 del 24 ottobre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1.3</w:t>
      </w:r>
    </w:p>
    <w:p>
      <w:r>
        <w:t>Auf die Beschwerde ist nach dem Gesagten einzutreten.</w:t>
      </w:r>
    </w:p>
    <w:p>
      <w:r>
        <w:rPr>
          <w:b/>
        </w:rPr>
        <w:t>E. 1.4</w:t>
      </w:r>
    </w:p>
    <w:p>
      <w:r>
        <w:t>Auf die Durchführung eines Schriftenwechsels wurde in Anwendung von Art. 111a Abs. 1 AsylG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3.2.4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Vorab ist durch das Bundesverwaltungsgericht zu prüfen, ob das SEM aufgrund der Aktenlage berechtigterweise davon ausgehen durfte, dem Beschwerdeführer sei es nicht gelungen, die von ihm geltend gemachte Minderjährigkeit glaubhaft zu machen.</w:t>
      </w:r>
    </w:p>
    <w:p>
      <w:r>
        <w:rPr>
          <w:b/>
        </w:rPr>
        <w:t>E. 4.2</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4.3.1</w:t>
      </w:r>
    </w:p>
    <w:p>
      <w:r>
        <w:t>Der Beschwerdeführer hat keine beweistauglichen Identitätspapiere zum Beleg des von ihm angegebenen Alters eingereicht. Zum angegebenen Geburtsdatum führte er aus, er kenne dieses von seiner Grossmutter, zudem sei das Datum auf (bisher nicht zu den Akten gereichten) Schulzeugnissen aufgeführt. Diese Angaben erscheinen angesichts der angegebenen Herkunft und Lebensumstände des Beschwerdeführers nicht als von vornherein unglaubhaft.</w:t>
      </w:r>
    </w:p>
    <w:p>
      <w:r>
        <w:rPr>
          <w:b/>
        </w:rPr>
        <w:t>E. 4.3.2</w:t>
      </w:r>
    </w:p>
    <w:p>
      <w:r>
        <w:t>Der Beschwerdeführer hatte auf dem persönlich ausgefüllten Personalienblatt des EVZ als Geburtsdatum den (...) eingesetzt und dieses Datum auch bei der BzP wiederholt. Auch in den weiteren aktenkundigen Unterlagen (etwa des Grenzwachtkorps, vgl. Aktenstück A2/11) sowie in der Gesprächsnotiz vom 28. Juni 2016 ist durchwegs dieses Geburtsdatum festgehalten worden (vgl. Akten A1 bis A8). Sein Aussageverhalten ist diesbezüglich stimmig. Es ist zudem festzustellen, dass auch im Zusammenhang mit den im Dublin-Verfahren vorgenommenen Abklärungen, namentlich dem dabei festgestellten Eurodac-Treffer, nie ein anderes Geburtsdatum als der (...) vermerkt worden ist.</w:t>
      </w:r>
    </w:p>
    <w:p>
      <w:r>
        <w:rPr>
          <w:b/>
        </w:rPr>
        <w:t>E. 4.3.3</w:t>
      </w:r>
    </w:p>
    <w:p>
      <w:r>
        <w:t>Die in der BzP protokollierten Aussagen zum Reiseweg und zu den persönlichen Lebensumständen hinterlassen auf den ersten Blick einen lebensechten und nachvollziehbaren Eindruck. Soweit bei genauerer Betrachtung - insbesondere der Angaben zur Schul- und Ausbildung - gewisse Ungereimtheiten erscheinen, hat das SEM an der Summarbefragung vom 1. Juli 2016 dazu keinerlei Rückfragen gestellt.</w:t>
      </w:r>
    </w:p>
    <w:p>
      <w:r>
        <w:rPr>
          <w:b/>
        </w:rPr>
        <w:t>E. 4.3.4</w:t>
      </w:r>
    </w:p>
    <w:p>
      <w:r>
        <w:t>Die zuhanden der Vorakten erstellten Porträtaufnahmen zeigen das Bild eines jungen Mannes und lassen keine Rückschlüsse auf die Frage der Minderjährigkeit zu.</w:t>
      </w:r>
    </w:p>
    <w:p>
      <w:r>
        <w:rPr>
          <w:b/>
        </w:rPr>
        <w:t>E. 5.1</w:t>
      </w:r>
    </w:p>
    <w:p>
      <w:r>
        <w:t>Das SEM seinerseits zweifelte die Minderjährigkeit des Beschwerdeführers offensichtlich bereits vor der Durchführung der BzP vom 1. Juli 2016 an (vor diesem Hintergrund ist offenbar auch die vom SEM erstellte "Gesprächsnotiz" vom 28. Juni 2016 [vgl. Akte A7/1] einzuordnen).</w:t>
      </w:r>
    </w:p>
    <w:p>
      <w:r>
        <w:rPr>
          <w:b/>
        </w:rPr>
        <w:t>E. 5.2</w:t>
      </w:r>
    </w:p>
    <w:p>
      <w:r>
        <w:t>In der Folge kam die Vorinstanz einzig aufgrund der in der BzP protokollierten Angaben zum Schluss, dieser sei als volljährig zu betrachten und werde folglich mit dem Geburtsdatum (...) erfasst. Weitere Abklärungen, beispielsweise wissenschaftliche Altersbestimmungsgutachten im Sinn von Art. 17 Abs. 3bis AsylG und Art. 7 Abs. 1 der Asylverordnung 1 vom 11. August 1999 (AsylV 1, SR 142.311), wurden in diesem Zusammenhang nicht durchgeführt. Das SEM verzichtete anlässlich der bloss 75 Minuten dauernden Kurzbefragung auch darauf, dem Beschwerdeführer die in diesem Zusammenhang interessierenden Fragen nach anderen Ausweispapieren sowie der Möglichkeit der Beschaffung von Ausweispapieren zu stellen (vgl. die leer gelassenen Protokollteile unter den Ziffern 4.04 und 4.07).</w:t>
      </w:r>
    </w:p>
    <w:p>
      <w:r>
        <w:rPr>
          <w:b/>
        </w:rPr>
        <w:t>E. 5.3</w:t>
      </w:r>
    </w:p>
    <w:p>
      <w:r>
        <w:t>Bei der geschilderten damaligen Aktenlage war die Schlussfolgerung des SEM, der Beschwerdeführer habe seine Minderjährigkeit nicht glaubhaft machen können, angesichts der bei dieser Prüfung zu berücksichtigenden Indizien (vgl. hierzu bereits EMARK 2004 Nr. 30 E. 6) offensichtlich nicht zulässig.</w:t>
      </w:r>
    </w:p>
    <w:p>
      <w:r>
        <w:rPr>
          <w:b/>
        </w:rPr>
        <w:t>E. 5.4</w:t>
      </w:r>
    </w:p>
    <w:p>
      <w:r>
        <w:t>An dieser Feststellung vermag auch die Tatsache nichts zu ändern, dass der Beschwerdeführer im Rahmen des rechtlichen Gehörs keine konkreten Einwände gegen die Umdatierung seines Geburtstags erhoben hatte: Erstens sind die diesbezüglich protokollierten Aussagen kaum verständlich und letztlich unlogisch (vgl. Protokoll BzP S. 10: "Das ist gut. Was die Behörden hier für mich entscheiden ist gut. Ich werde Dokumente via G-Mail schicken"); und zweitens hatte der Beschwerdeführer am Ende der Kurzbefragung angegeben, unter gesundheitlichen Problemen wegen einer Schussverletzung in der Hüfte (und wegen einer Windpockenerkrankung) zu leiden, was in der Tat die Frage nach seiner Einvernahmefähigkeit aufwirft.</w:t>
      </w:r>
    </w:p>
    <w:p>
      <w:r>
        <w:rPr>
          <w:b/>
        </w:rPr>
        <w:t>E. 5.5</w:t>
      </w:r>
    </w:p>
    <w:p>
      <w:r>
        <w:t>Schliesslich ist festzuhalten, dass der Beschwerdeführer mit seinem Rechtsmittel die Kopie eines somalischen Geburtsscheins zu den Akten gereicht und die Nachreichung des Originals angeboten hat.</w:t>
      </w:r>
    </w:p>
    <w:p>
      <w:r>
        <w:rPr>
          <w:b/>
        </w:rPr>
        <w:t>E. 5.6</w:t>
      </w:r>
    </w:p>
    <w:p>
      <w:r>
        <w:t>Die Frage der Glaubhaftigkeit der Minderjährigkeit ist für das Dublin-Verfahren von potenziell erheblicher Bedeutung (vgl. Art. 29a Abs. 3 AsylV 1, Art. 7 Abs. 2bis und Abs. 3 AsylV 1, Art. 8 Dublin-III-VO und hierzu das Urteil des Gerichtshof der Europäischen Union [EuGH] vom 6. Juni 2013 in der Rechtssache C 648/11, M.A., B.T. und D.A. vs. Vereinigtes Königreich [vgl. Urteil des BVGer E-594/2015 vom 2. Juli 2015 m.w.H.]).</w:t>
      </w:r>
    </w:p>
    <w:p>
      <w:r>
        <w:rPr>
          <w:b/>
        </w:rPr>
        <w:t>E. 5.7</w:t>
      </w:r>
    </w:p>
    <w:p>
      <w:r>
        <w:t>Die angefochtene Verfügung beruht nach dem Gesagten auf einer ungenügenden Feststellung des rechtserheblichen Sachverhalts und ist deshalb aufzuheben. Die Beschwerde ist insoweit gutzuheissen und die Akten sind dem SEM zur Weiterführung des Verfahrens zu überweisen. Die Vor-instanz wird die Frage der Glaubhaftigkeit der Minderjährigkeit erneut zu beurteilen haben und den Beschwerdeführer zuvor sinnvollerweise zur Einreichung des Originals des Geburtszertifikats auffordern.</w:t>
      </w:r>
    </w:p>
    <w:p>
      <w:r>
        <w:rPr>
          <w:b/>
        </w:rPr>
        <w:t>E. 6.1</w:t>
      </w:r>
    </w:p>
    <w:p>
      <w:r>
        <w:t>Bei diesem Ausgang des Verfahrens sind keine Kosten aufzuerlegen (Art. 63 Abs. 1 und 2 VwVG). Das Gesuch um Gewährung der unentgeltlichen Prozessführung (Art. 65 Abs. 1 VwVG) erweist sich damit als gegenstandslos.</w:t>
      </w:r>
    </w:p>
    <w:p>
      <w:r>
        <w:rPr>
          <w:b/>
        </w:rPr>
        <w:t>E. 6.2</w:t>
      </w:r>
    </w:p>
    <w:p>
      <w:r>
        <w:t>Der Beschwerdeführer ist im vorliegenden Verfahren nicht vertreten, weshalb ihm keine erheblichen Parteikosten entstanden sein können. Folglich ist ihm keine Parteientschädigung im Sinn von Art. 64 Abs. 1 VwVG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