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E-5783/2016 vom 27. September 2016</w:t>
      </w:r>
    </w:p>
    <w:p>
      <w:r>
        <w:t>Bundesverwaltungsgericht, 2016-09-27, DE</w:t>
      </w:r>
    </w:p>
    <w:p>
      <w:r>
        <w:rPr>
          <w:b/>
        </w:rPr>
        <w:t xml:space="preserve">Quelle: </w:t>
      </w:r>
      <w:r>
        <w:t>https://mcp.opencaselaw.ch/entscheid/bvger_E-5783_2016</w:t>
      </w:r>
    </w:p>
    <w:p>
      <w:r>
        <w:t>FR: TAF E-5783/2016 du 27 septembre 2016</w:t>
      </w:r>
    </w:p>
    <w:p>
      <w:r>
        <w:t>IT: TAF E-5783/2016 del 27 settembre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fristgerecht eingereichte Beschwerde (Art. 108 Abs. 2 AsylG)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2 AsylG). Gestützt auf Art. 111a Abs. 1 AsylG wurde vorliegend auf einen Schriftenwechsel verzichtet.</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20 Abs. 1 Dublin-III-VO wird das Verfahren zur Bestimmung des zuständigen Mitgliedstaates eingeleitet, sobald in einem Mitgliedstaat erstmals ein Asylantrag gestellt wird. Der nach dieser Verordnung zuständige Mitgliedstaat ist verpflichtet, einen Antragsteller, der in einem anderen Mitgliedstaat einen Antrag gestellt hat, nach Massgabe der Art. 21, 22 und 29 Dublin-III-VO aufzunehmen (Art. 18 Abs. 1 Bst. a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die italienischen Behörden hätten ihr Ersuchen um Übernahme gestützt auf Art. 12 Abs. 2 Dublin-III-VO gutgeheissen, womit die Zuständigkeit zur Prüfung und Durchführung des Asyl- und Wegweisungsverfahrens bei Italien liege. Der Beschwerdeführer habe selbst erklärt, er habe das italienische Visum auf der Botschaft in Lagos beantragt und sei danach mit seinem Pass und dem Visum für Italien nach Mailand geflogen. Der geäusserte Wunsch nach einem Verbleib in der Schweiz habe keinen Einfluss auf die Zuständigkeit für das Asyl- und Wegweisungsverfahren, da es nicht Sache der betroffenen Person sei, den für ihr Asylverfahren zuständigen Staat selbst zu bestimmen. Dies obliege alleine den beteiligten Dublin-Vertragsstaaten. Es würden keine konkreten Anhaltspunkte vorliegen, dass sich Italien nicht an seine völkerrechtlichen Verpflichtungen halten und das Asyl- und Wegweisungsverfahren nicht korrekt durchführen würde. Bei einer Überstellung nach Italien sei nicht davon auszugehen, dass der Beschwerdeführer im Sinne von Art. 3 Abs. 2 Dublin-III-VO und Art. 3 EMRK gravierenden Menschenrechtsverletzungen ausgesetzt wäre, in eine existenzielle Notlageoder ohne Prüfung des Asylgesuchs und unter Verletzung des Non-Refoulement-Gebots in seinen Heimatstaat überstellt werde. Zudem würden in Italiens Asyl- und Aufnahmesystem keine systemischen Mängel vorliegen. Für einen Selbsteintritt der Schweiz würden keine Gründe vorliegen.</w:t>
      </w:r>
    </w:p>
    <w:p>
      <w:r>
        <w:rPr>
          <w:b/>
        </w:rPr>
        <w:t>E. 4.2</w:t>
      </w:r>
    </w:p>
    <w:p>
      <w:r>
        <w:t>Die Schlussfolgerungen der Vorinstanz sind weder in tatsächlicher noch in rechtlicher Hinsicht zu beanstanden. Was in der Rechtsmitteleingabe dagegen vorgebracht wird, ist nicht geeignet, einen anderen Schluss zu ziehen.</w:t>
      </w:r>
    </w:p>
    <w:p>
      <w:r>
        <w:rPr>
          <w:b/>
        </w:rPr>
        <w:t>E. 4.2.1</w:t>
      </w:r>
    </w:p>
    <w:p>
      <w:r>
        <w:t>Die Vorinstanz hat aufgrund der Aussagen des Beschwerdeführers und des CS-VIS-Treffers zu Recht auf die Zuständigkeit Italiens erkannt und die italienischen Behörden - gestützt auf Art. 12 Abs. 2 Dublin-III-VO - um Übernahme ersucht. Italien hat der Übernahme des Beschwerdeführers explizit zugestimmt, womit die grundsätzliche Zuständigkeit Italiens für die Durchführung des Asyl- und Wegweisungsverfahrens feststeht.</w:t>
      </w:r>
    </w:p>
    <w:p>
      <w:r>
        <w:rPr>
          <w:b/>
        </w:rPr>
        <w:t>E. 4.2.2</w:t>
      </w:r>
    </w:p>
    <w:p>
      <w:r>
        <w:t>Der Beschwerdeführer bringt vor, im Asyl- und Aufnahmesystem Italiens würden systemische Mängel vorliegen. Eine Überstellung sei sodann erst nach einer fundierten Einzelfallprüfung zulässig.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Sodann handelt es sich beim Beschwerdeführer - soweit den Akten zu entnehmen ist - um einen jungen und gesunden Mann, weshalb auch keine vorgängigen Garantien einzuholen sind, wie es bei Familien mit minderjährigen Kindern gegenwärtig der Fall ist.</w:t>
      </w:r>
    </w:p>
    <w:p>
      <w:r>
        <w:rPr>
          <w:b/>
        </w:rPr>
        <w:t>E. 4.3</w:t>
      </w:r>
    </w:p>
    <w:p>
      <w:r>
        <w:t>Die Vorinstanz ist somit zutreffend von der Zuständigkeit Italiens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 BVGE 2015/18 E. 5.2 m.w.H.).</w:t>
      </w:r>
    </w:p>
    <w:p>
      <w:r>
        <w:rPr>
          <w:b/>
        </w:rPr>
        <w:t>E. 4.4</w:t>
      </w:r>
    </w:p>
    <w:p>
      <w:r>
        <w:t>Zusammenfassend ergibt sich, dass die angefochtene Verfügung Bundesrecht nicht verletzt und auch sonst nicht zu beanstanden ist (Art. 106 AsylG). Die Beschwerde ist abzuweisen.</w:t>
      </w:r>
    </w:p>
    <w:p>
      <w:r>
        <w:rPr>
          <w:b/>
        </w:rPr>
        <w:t>E. 4.5</w:t>
      </w:r>
    </w:p>
    <w:p>
      <w:r>
        <w:t>Mit dem vorliegenden Urteil ist das Beschwerdeverfahren abgeschlossen und der Antrag auf Gewährung der aufschiebenden Wirkung gegenstandslos geworden.</w:t>
      </w:r>
    </w:p>
    <w:p>
      <w:r>
        <w:rPr>
          <w:b/>
        </w:rPr>
        <w:t>E. 5.1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Aus den vorstehenden Erwägungen ergibt sich, dass die Vorbringen des Beschwerdeführers als aussichtslos zu gelten haben. Damit ist eine der kumulativ zu erfüllenden Voraussetzungen zur Gewährung der unentgeltlichen Prozessführung nicht erfüllt. Das Gesuch ist abzuweisen.</w:t>
      </w:r>
    </w:p>
    <w:p>
      <w:r>
        <w:rPr>
          <w:b/>
        </w:rPr>
        <w:t>E. 5.2</w:t>
      </w:r>
    </w:p>
    <w:p>
      <w:r>
        <w:t>Bei diesem Ausgang des Verfahrens sind die Kosten von Fr. 600.-(Art. 1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