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E-5779/2018 vom 10. Dezember 2018</w:t>
      </w:r>
    </w:p>
    <w:p>
      <w:r>
        <w:t>Bundesverwaltungsgericht, 2018-12-10, DE</w:t>
      </w:r>
    </w:p>
    <w:p>
      <w:r>
        <w:rPr>
          <w:b/>
        </w:rPr>
        <w:t xml:space="preserve">Quelle: </w:t>
      </w:r>
      <w:r>
        <w:t>https://mcp.opencaselaw.ch/entscheid/bvger_E-5779_2018</w:t>
      </w:r>
    </w:p>
    <w:p>
      <w:r>
        <w:t>FR: TAF E-5779/2018 du 10 décembre 2018</w:t>
      </w:r>
    </w:p>
    <w:p>
      <w:r>
        <w:t>IT: TAF E-5779/2018 del 10 dicembre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Erwägung, einzutreten (Art. 108 Abs. 1 AsylG und Art. 52 Abs. 1 VwVG).</w:t>
      </w:r>
    </w:p>
    <w:p>
      <w:r>
        <w:rPr>
          <w:b/>
        </w:rPr>
        <w:t>E. 1.2</w:t>
      </w:r>
    </w:p>
    <w:p>
      <w:r>
        <w:t>Auf den Antrag auf Mitteilung betreffend die Bildung des Spruchkörpers ist nicht einzutreten (vgl. Teilurteil des BVGer D-1549/2017 vom 2. Mai 2018 E. 4.3 [zur Publikation vorgesehen]).</w:t>
      </w:r>
    </w:p>
    <w:p>
      <w:r>
        <w:rPr>
          <w:b/>
        </w:rPr>
        <w:t>E. 1.3</w:t>
      </w:r>
    </w:p>
    <w:p>
      <w:r>
        <w:t>Der Antrag auf Mitteilung des Spruchgremiums ist mit dem vorliegenden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Die Rüge der Verletzung des rechtlichen Gehörs begründet der Beschwerdeführer mit dem zeitlichen Abstand zwischen der Anhörung und dem Entscheid. Zwischen 2016 und 2018 hätten sich weitere rechtserhebliche Entwicklungen ergeben. So habe er sich in der Schweiz exilpolitisch engagiert und in Sri Lanka hätten behördliche Nachforschungen zu seinem Verbleib stattgefunden. Es dürfe nicht ihm angelastet werden, dass er den entsprechenden Sachverhalt nicht von sich aus dem SEM dargelegen habe. Er sei der Deutschen Sprache nicht mächtig und mit den hiesigen administrativen Abläufen nicht vertraut. Zudem wisse er auch nicht um die Asylrelevanz seines exilpolitischen Engagements in der Schweiz. Weiter seien verschiedene Personen für den Entscheid verantwortlich gewesen. Dadurch habe die Vorinstanz das Gutachten von Prof. Dr. Walter Kälin missachtet. Im Sinne der Ausführungen in der Beschwerdeeingabe ist festzuhalten, dass ein zeitnaher Entscheid durchaus wünschenswert ist, es aber keine gesetzliche Verpflichtung der Vorinstanz gibt, nach einer gewissen verstrichenen Zeit automatisch dem Beschwerdeführer das rechtliche Gehör zu gewähren. Hätten sich in dieser Zeit - beispielsweise aufgrund eines ausgeprägten exilpolitischen Engagements - massgebliche neue Tatsachen ergeben, wäre es aufgrund der Mitwirkungspflicht (Art. 8 Abs. 1 Bst. d AsylG) Sache des Beschwerdeführers gewesen, die Vorinstanz zu informieren. Dies umso mehr, als der Beschwerdeführer bereits seit dem 19. Juli 2016 von einem im Asylrecht spezialisierten Anwalt vertreten wird. Bei dem vom Beschwerdeführer zitierten Rechtsgutachten handelt es sich sodann lediglich um eine Empfehlung von Prof. Walter Kälin an die Vor-instanz, aus welcher der Beschwerdeführer keine Ansprüche ableiten kann. Dasselbe gilt für die Medienmitteilung der Vorinstanz vom 26. Mai 2014. Sodann ist es durchaus wünschenswert, wenn die Anhörung von derselben Person durchgeführt wird, die auch über das Asylgesuch (mit-)befindet, zumal der persönliche Eindruck einer Person für die Beurteilung der Glaubhaftigkeit ihrer Asylvorbringen von Belang sein kann. Es existiert jedoch keine gesetzliche Verpflichtung der Vorinstanz, dies immer so zu handhaben; eine solche Verpflichtung ergibt sich auch aus dem Anspruch auf rechtliches Gehör nicht (vgl. Urteil des BVGer E-1277/2018 vom 3. April 2018 E. 4.3).</w:t>
      </w:r>
    </w:p>
    <w:p>
      <w:r>
        <w:rPr>
          <w:b/>
        </w:rPr>
        <w:t>E. 6.2</w:t>
      </w:r>
    </w:p>
    <w:p>
      <w:r>
        <w:t>Der Beschwerdeführer rügt weiter eine Verletzung der Begründungspflicht. Die Vorinstanz habe seine familiären Beziehungen zu einer Person mit LTTE-Verbindungen bei der Beurteilung der Risikofaktoren vollständig ausgeklammert. Sein Bruder sei von regierungsnahen Paramilitärs der LTTE-Unterstützung bezichtigt und deswegen extralegal getötet worden. Auch die Narben des Beschwerdeführers seien im Rahmen der Beurteilung der Risikofaktoren mit keinem Wort erwähnt worden. Entgegen der Ansicht des Beschwerdeführers hat die Vorinstanz dessen familiären Hintergrund und die Narben berücksichtigt. Dazu führte sie aus, der familiäre Hintergrund des Beschwerdeführers gebe keine Anhaltpunkte für die Annahme einer Verfolgung im Falle einer Rückkehr. Der Tod seines Bruders im Jahr 2008 habe keine Verfolgung bewirkt. Bezüglich der Narben führte die Vorinstanz aus, das Ereignis, wie er sich diese angeblich zugezogen habe, sei nicht glaubhaft. Es sei davon auszugehen, dass die Narben auf andere Weise entstanden seien. Diese Ausführungen sind nicht zu beanstanden, zumal sich die Vorinstanz mit den wesentlichen Vorbringen des Beschwerdeführers auseinandergesetzt hat. Schliesslich zeigt die Beschwerde selbst, dass eine sachgerechte Anfechtung möglich war. Die auf Beschwerdeebene aufgeführten Punkte beziehen sich sodann auf die Würdigung des Sachverhalts und nicht auf die Begründungspflicht der Vor-instanz. Eine Verletzung der Begründungspflicht liegt nicht vor.</w:t>
      </w:r>
    </w:p>
    <w:p>
      <w:r>
        <w:rPr>
          <w:b/>
        </w:rPr>
        <w:t>E. 6.3</w:t>
      </w:r>
    </w:p>
    <w:p>
      <w:r>
        <w:t>Ferner macht der Beschwerdeführer geltend, die Vorinstanz habe den Sachverhalt unvollständig und unrichtig abgeklärt. Er habe in diesem Zusammenhang dargelegt, dass eine Person namens F._______ seinen Bruder ermordet und er dies als Zeuge gesehen habe. Er habe weiter ausgeführt, dass dieser F._______ früher für die TMVP ("Karuna-Gruppe") gearbeitet und später ein politisches Amt innerhalb der sri-lankischen Regierung bekleidet habe. Das SEM habe keinerlei weitere Abklärungen zum Hintergrund F._______s gemacht. Die aktuelle Situation in Sri Lanka habe es unvollständig und unkorrekt abgeklärt und das Lagebild vom 16. August 2016 genüge den Anforderungen an korrekt erhobene Länderinformationen nicht. Weiter habe es unterlassen, die zu erwartende Vorsprache auf dem sri-lankischen Generalkonsulat und die damit verbundenen Gefährdungsmomente vollständig und korrekt abzuklären. Sodann würden politische Interessen in der Schweiz einer objektiven und neutralen Betrachtung der Lage in Sri Lanka entgegenstehen. Diesbezüglich ist festzuhalten, dass die Vorinstanz nicht bestreitet, dass der Bruder des Beschwerdeführers ermordet wurde. Indes erachtete sie es als nicht glaubhaft, dass der Beschwerdeführer in der Folge aufgrund des Mordes an seinem Bruder verfolgt wurde. Die Vorinstanz hielt im Sachverhalt alle wesentlichen Sachverhaltselemente fest und würdigte die Ausführungen des Beschwerdeführers vor dem Hintergrund der aktuellen Lage in Sri Lanka. Alleine der Umstand, dass die Vorinstanz in ihrer Länderpraxis einer anderen Linie folgt, als vom Beschwerdeführer vertreten, und sie aus sachlichen Gründen auch zu einer anderen Würdigung der Gesuchsvorbringen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6.4</w:t>
      </w:r>
    </w:p>
    <w:p>
      <w:r>
        <w:t>Eine Verletzung des rechtlichen Gehörs liegt, wie erwähnt, nicht vor, weshalb auch das Willkürverbot nicht verletzt ist. Eine andere Würdigung des Sachverhalts durch die Vorinstanz als vom Beschwerdeführer gewünscht, bedeutet noch keine Willkür.</w:t>
      </w:r>
    </w:p>
    <w:p>
      <w:r>
        <w:rPr>
          <w:b/>
        </w:rPr>
        <w:t>E. 7</w:t>
      </w:r>
    </w:p>
    <w:p>
      <w:r>
        <w:t>Schliesslich beantragt der Beschwerdeführer,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bereits öfters gestellten Antrag auf Offenlegung aller nicht öffentlich zugänglichen Quellen des besagten Lagebilds, zumal die Begründung der beiden Anträge praktisch identisch ist. Der Antrag ist folglich abzuweisen (vgl. Urteil des BVGer D-109/2018 vom 16. Mai 2018 E. 6.3).</w:t>
      </w:r>
    </w:p>
    <w:p>
      <w:r>
        <w:rPr>
          <w:b/>
        </w:rPr>
        <w:t>E. 7.1</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durch das Bundesverwaltungsgericht folgende Beweisanträge: Er sei von einem Sachbearbeiter, welcher über vollständige Länderhintergrundinformationen zu Sri Lanka verfüge und den Entscheid in der vorliegenden Sache fälle, erneut anzuhören. Sollte er nicht erneut angehört werden, müsste seitens des Gerichts beim SEM die zur Anhörung intern angelegten Akten beigezogen werden, aus welchen sich ergeben müsste, was die für die Anhörung verantwortliche Person für einen persönlichen Eindruck zur Glaubhaftigkeit der Vorbringen gehabt habe. Schliesslich sei ihm eine angemessene Frist zur Einreichung von Unterlagen zu seinem exilpolitischen Engagement anzusetzen.</w:t>
      </w:r>
    </w:p>
    <w:p>
      <w:r>
        <w:rPr>
          <w:b/>
        </w:rPr>
        <w:t>E. 8.2</w:t>
      </w:r>
    </w:p>
    <w:p>
      <w:r>
        <w:t>Dem Beschwerdeführer wäre es freigestanden, weitere Beweismittel im Rahmen seiner Mitwirkungspflicht nach Art. 8 AsylG einzureichen und er hätte dazu seit der Stellung seines Asylgesuches auch genügend Zeit gehabt. Die Notwendigkeit einer erneuten Anhörung ist nicht ersichtlich. Er konnte sich ausführlich im Rahmen der Anhörung zu seinen Asylgründen äussern. Sodann existieren keine weiteren Akten. Die Beweisanträge sind abzuweisen.</w:t>
      </w:r>
    </w:p>
    <w:p>
      <w:r>
        <w:rPr>
          <w:b/>
        </w:rPr>
        <w:t>E. 9.1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2012/5 E. 2.2).</w:t>
      </w:r>
    </w:p>
    <w:p>
      <w:r>
        <w:rPr>
          <w:b/>
        </w:rPr>
        <w:t>E. 10.1</w:t>
      </w:r>
    </w:p>
    <w:p>
      <w:r>
        <w:t>Die Vorinstanz gelangte in der angefochtenen Verfügung zum Schluss, die Vorbringen des Beschwerdeführers hielten weder den Anforderungen an das Glaubhaftmachen gemäss Art. 7 AsylG noch denjenigen an die Flüchtlingseigenschaft nach Art. 3 AsylG stand. Zu Art. 7 AsylG führte die Vorinstanz aus, vor dem Hintergrund seines Vorbringens, wonach er Augenzeuge der Ermordung seines Bruders geworden sei, sei nicht glaubhaft, dass er und seine Mutter damals nicht als Zeugen des Vorfalls wahrgenommen worden seien. Zum einen habe er gleich nebenan gewohnt und zum anderen sei seine Mutter angeschossen worden, und beide hätten sich beim Eintreffen der Polizei am Tatort befunden. Zudem sei nicht glaubhaft, dass in dieser kurzen Zeit die Anwesenden eine Taktik hätten schmieden können, um nicht als Zeugen zu gelten. Der Umstand, dass er im Asylgesuch nun geltend mache, er sei damals nicht als Zeuge wahrgenommen worden, werde jedoch nun verfolgt, scheine darin motiviert zu liegen, dem am 5. August 2016 (recte: 15. April 2009) eingereichten Asylgesuch Jahre später noch ein Motiv verleihen zu wollen. Die von ihm vorgetragenen Ereignisse vom April 2016 könnten ihm aus verschiedenen Gründen nicht geglaubt werden. Vor dem Hintergrund, dass er und seine Mutter jahrelang verschwiegen hätten, Zeugen des Mordes gewesen zu sein, sei nicht plausibel, dass seine Mutter unbekannten Personen diese Tatsache offenbaren würde. Weiter sei auch die Darstellung des Überfalls beim Joggen unglaubhaft. So könne nicht geglaubt werden, dass sich die Unbekannten, nachdem sie den Beschwerdeführer gefesselt und geschlagen hätten, von ihm wegbegeben hätten, um sich zu versichern, dass niemand am Strand sei. Der Überfall, die Schläge und die Fesselung hätten bestimmt jede Menge Lärm und Aufmerksamkeit erregt, so dass allfällige andere Strandbesucher darauf aufmerksam geworden wären. Zudem sei unglaubhaft, dass sich alle Angreifer entfernt hätten, wodurch der Beschwerdeführer habe flüchten können. Sein Vorbringen müsse als Konstrukt angesehen werden. Hinzu komme, dass auch die Mutter des Beschwerdeführers gleich wie er verfolgt sein müsste, da sie ebenso Zeugin des Mordes gewesen sei. Solches habe er nicht vorgebracht und die Mutter halte sich offenbar nach wie vor unbehelligt in Sri Lanka auf. Die eingereichten Unterlagen würden allesamt im Zusammenhang mit dem Tod des Bruders stehen. Zwei Bilder würden Narben auf dem Rücken des Beschwerdeführers zeigen. Das SEM stelle den Tod des Bruders nicht in Frage. Es schliesse jedoch aus, dass der Beschwerdeführer deswegen in seinem Heimatland verfolgt worden sei oder ihm eine Verfolgung drohe. Das Ereignis, wie er sich die Narben zugezogen habe, sei indessen nicht glaubhaft, sodass davon auszugehen sei, dass diese auf andere Weise entstanden seien. Zu Art. 3 AsylG führte die Vorinstanz aus, der Beschwerdeführer habe nicht glaubhaft machen können, vor seiner Ausreise asylrelevanten Verfolgungsmassnahmen ausgesetzt gewesen zu sein. Es könne davon ausgegangen werden, dass der sri-lankische Staat keine Verfolgungsmassnahmen gegen ihn hegen würde. Bereits im Urteil vom 25. April 2014 habe das Bundesverwaltungsgericht die Feststellung des SEM bestätigt, wonach der Umstand, dass der Beschwerdeführer am (...) 2013 vom CID befragt und wieder freigelassen worden sei, darauf schliessen lasse, dass die heimatlichen Behörden kein ernsthaftes Verfolgungsinteresse an ihm hätten. Diese Feststellung gelte weiterhin, denn auch nach seiner Rückkehr im Jahr 2016 habe er nicht vorgebracht, dass der sri-lankische Staat Massnahmen gegen ihn ergriffen habe. Auch der familiäre Hintergrund gebe keine Anhaltspunkte für die Annahme einer Verfolgung im Falle der Rückkehr. Der Tod des Bruders im Jahr 2008 habe keine Verfolgung bewirkt.</w:t>
      </w:r>
    </w:p>
    <w:p>
      <w:r>
        <w:rPr>
          <w:b/>
        </w:rPr>
        <w:t>E. 10.2</w:t>
      </w:r>
    </w:p>
    <w:p>
      <w:r>
        <w:t>In der Rechtsmitteleingabe macht der Beschwerdeführer geltend, das SEM verletze mit seinem Vorgehen den Grundsatz, wonach der Beweis einer Tatsache deren Glaubhaftmachung vorgehe. So würden sowohl für die extralegale Tötung des Bruders, die Zeugeneigenschaft seiner Mutter und die Übergriffe auf den Beschwerdeführer objektive Beweismittel bestehen. Dabei handle es sich um einen Todesschein seines Bruders, einen Polizeibericht, eine Anzeige bei einer Menschenrechtskommission, sowie medizinische Berichte betreffend die Schusswunden des Bruders und der Mutter. Diese Beweismittel seien vom SEM ignoriert worden. Zudem überzeuge die Glaubhaftigkeitsprüfung des SEM argumentativ nicht.</w:t>
      </w:r>
    </w:p>
    <w:p>
      <w:r>
        <w:rPr>
          <w:b/>
        </w:rPr>
        <w:t>E. 10.3.1</w:t>
      </w:r>
    </w:p>
    <w:p>
      <w:r>
        <w:t>Die vorinstanzlichen Erwägungen sind nicht zu beanstanden. In der angefochtenen Verfügung wird einlässlich dargelegt, aus welchen Gründen die Vorbringen des Beschwerdeführers unglaubhaft sind. Bezüglich der eingereichten Beweismittel ist festzuhalten, dass die Tötung des Bruders und die erlittene Schussverletzung der Mutter seitens des SEM nicht bestritten wurden. Sodann ist festzuhalten, dass der Beschwerdeführer anlässlich seines ersten Asylgesuches lediglich ausführte, sein Bruder sei von unbekannten Personen erschossen worden. Erst nachdem sein erstes Asylgesuch abgelehnt wurde, machte er geltend, sein Bruder sei von F._______ ermordet worden. Zudem seien seine Mutter und er Zeuge des Mordes gewesen. Sodann konnte er keine Angaben zu einem allfälligen Engagement seines Bruders für die LTTE machen. Ferner verneinte er die Frage, ob er bei seinen Einreisen im Jahr 2016 auf den Mord des Bruders oder dessen allfällige Kontakte zur LTTE angesprochen wurde. Weiter führte der Beschwerdeführer aus, er habe am (...) 2016 Sri Lanka mit seinem eigenen Reisepass in Richtung L._______ verlassen, jedoch sei er am (...) 2016 wieder zurückgekehrt, weil der Schlepper ihn nicht habe weiterschicken können. Am (...) 2016 sei er erneut ausgereist. Vor diesem Hintergrund ist festzustellen, dass es kaum möglich wäre, dass der Beschwerdeführer zweimal legal mit seinem persönlichen Reisepass den Flughafen Colombo hätte verlassen können, wenn die Behörden ein Interesse an ihm gehabt hätten. Der Beschwerdeführer konnte somit nicht glaubhaft machen, aufgrund des Todes seines Bruders ins Visier der sri-lankischen Behörden geraten zu sein. Um Wiederholungen zu vermeiden, kann vollumfänglich auf die zutreffenden Erwägungen in der angefochtenen Verfügung verwiesen werden.</w:t>
      </w:r>
    </w:p>
    <w:p>
      <w:r>
        <w:rPr>
          <w:b/>
        </w:rPr>
        <w:t>E. 10.3.2</w:t>
      </w:r>
    </w:p>
    <w:p>
      <w:r>
        <w:t>Die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Insgesamt hat die Vorinstanz die Vorbringen des Beschwerdeführers zu Recht als nicht glaubhaft erachtet.</w:t>
      </w:r>
    </w:p>
    <w:p>
      <w:r>
        <w:rPr>
          <w:b/>
        </w:rPr>
        <w:t>E. 10.3.3</w:t>
      </w:r>
    </w:p>
    <w:p>
      <w:r>
        <w:t>Die vorgebrachten exilpolitischen Tätigkeiten des Beschwerdeführers sind als niederschwellig einzustufen. Er macht geltend, im (...) 2016 an einer Demonstration in N._______ teilgenommen zu haben. Auf Beschwerdeebene legte er indes nicht dar, inwieweit er sich durch sein exilpolitisches Wirken derart exponiert habe, dass er bei einer Rückkehr nach Sri Lanka Furcht vor einer asylrelevanten Verfolgung haben müsste.</w:t>
      </w:r>
    </w:p>
    <w:p>
      <w:r>
        <w:rPr>
          <w:b/>
        </w:rPr>
        <w:t>E. 10.4</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Nachdem die Asylvorbringen des Beschwerdeführers unglaubhaft ausgefallen sind, er keine Verbindung zu den LTTE aufweist, keine Reflexverfolgung vorliegt und auch sein exilpolitisches Wirken als äusserst niederschwellig zu beurteilen ist, erfüllt er keine der oben erwähnten stark risikobegründenden Faktoren. Weiter wurde er keiner Straftat angeklagt oder verurteilt und verfügt somit auch nicht über einen Strafregistereintrag. Alleine aus der tamilischen Ethnie, der zweijährigen Landesabwesenheit und seinen Narben am Rücken kann er keine Gefährdung ableiten. In die Gesamtwürdigung ist weiter der familiäre Hintergrund des Beschwerdeführers miteinzubeziehen. Weder seine Familie noch er selbst weisen aktuell Verbindungen zu den LTTE auf. Sein Bruder, welcher angeblich zufolge seiner Tätigkeit für die LTTE getötet worden sei, starb bereits im Jahr 2008. Der Beschwerdeführer konnte nicht glaubhaft machen, aufgrund des Mordes an seinem Bruder einer asylrelevanten Verfolgung ausgesetzt gewesen zu sein.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10.5</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über das sri-lankische Konsulat in Genf würden die Behörden bei seiner Rückkehr nach Sri Lanka sofort Kenntnis über seine politische Vergangenheit und seine exilpolitische Tätigkeit in der Schweiz erhalten. Wegen seiner LTTE-Verbindungen und der bereits erfolgten Verfolgung bestehe bei den standardisierten Verhören der sri-lankischen Behörden, welchen er sich nicht entziehen könne, eine akute Gefahr für Leib und Leben.</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Ostprovinz zumutbar ist, wenn das Vorliegen der individuellen Zumutbarkeitskriterien (insbesondere Existenz eines tragfähigen familiären oder sozialen Beziehungsnetzes sowie Aussichten auf eine gesicherte Einkommens- und Wohnsituation) bejaht werden kann (vgl. Urteil E-1866/2015 E. 13.4). Der Beschwerdeführer lebte bis zu seiner Ausreise in B._______, C._______, Distrikt D._______, Ostprovinz. Seine Eltern und die Schwester leben nach wie vor dort. Ein Bruder lebt sodann in I._______. Die Familie betreibt (...) und besitzt ein eigenen (...) und (...). Der Beschwerdeführer verfügt über Arbeitserfahrung in der (...) und als (...). Zudem hat er vor seiner Ausreise ein (...)geschäft betrieben. Zu seiner Familie steht er in regelmässigem Kontakt. Es ist davon auszugehen, dass sie ihn bei der Wiedereingliederung unterstützen und er eine neue Existenz wird aufbauen können. Der Vollzug der Wegweisung erweist sich somit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und auch sonst nicht zu beanstanden ist (Art. 106 Abs. 1 AsylG). Die Beschwerde ist abzuweisen, soweit darauf einzutreten ist.</w:t>
      </w:r>
    </w:p>
    <w:p>
      <w:r>
        <w:rPr>
          <w:b/>
        </w:rPr>
        <w:t>E. 14.1</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w:t>
      </w:r>
    </w:p>
    <w:p>
      <w:r>
        <w:rPr>
          <w:b/>
        </w:rPr>
        <w:t>E. 14.2</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