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E-5778/2015 vom 28. September 2015</w:t>
      </w:r>
    </w:p>
    <w:p>
      <w:r>
        <w:t>Bundesverwaltungsgericht, 2015-09-28, DE</w:t>
      </w:r>
    </w:p>
    <w:p>
      <w:r>
        <w:rPr>
          <w:b/>
        </w:rPr>
        <w:t xml:space="preserve">Quelle: </w:t>
      </w:r>
      <w:r>
        <w:t>https://mcp.opencaselaw.ch/entscheid/bvger_E-5778_2015</w:t>
      </w:r>
    </w:p>
    <w:p>
      <w:r>
        <w:t>FR: TAF E-5778/2015 du 28 septembre 2015</w:t>
      </w:r>
    </w:p>
    <w:p>
      <w:r>
        <w:t>IT: TAF E-5778/2015 del 28 settembre 2015</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Mit Beschwerde im Asylbereich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richtet sich ausschliesslich gegen Dispositiv Ziffer 2 (Asyl) und Ziffer 3 (Wegweisung) der angefochtenen Verfügung. Der Wegweisungsvollzug wurde zugunsten einer vorläufigen Aufnahme aufgeschoben und bildet deshalb nicht mehr Gegenstand des Beschwerdeverfahrens.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Der Beschwerdeführer wirft der Vorinstanz verschiedene Rechtsverletzungen vor. Er rügt eine Gehörsverletzung in der Form der Begründungspflicht (E. 4) und behauptet eine Verletzung der Pflicht zur vollständigen und richtigen Abklärung des rechtserheblichen Sachverhaltes (E. 5).</w:t>
      </w:r>
    </w:p>
    <w:p>
      <w:r>
        <w:rPr>
          <w:b/>
        </w:rPr>
        <w:t>E. 4.1</w:t>
      </w:r>
    </w:p>
    <w:p>
      <w:r>
        <w:t>Gemäss Art. 29 VwVG haben die Parteien Anspruch auf rechtliches Gehör.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Aus der angefochtenen Verfügung ergeben sich nach Prüfung der Akten keine Anhaltspunkte, die den Schluss zuliessen, die Vorinstanz habe die Begründungspflicht verletzt. Es ist festzuhalten, dass sich die Vor­instanz auf die wesentlichen Aussagen konzentriert und die Verfügung ausreichend begründet hat, zumal sie sich nicht mit jedem einzelnen Vorbringen auseinandersetzen muss und kann. In Bezug auf die Unzumutbarkeit des Wegweisungsvollzugs können die Beschwerdeführenden eine Verletzung der Begründungspflicht schon deshalb nicht geltend machen, weil die Vorinstanz diesbezüglich zu ihren Gunsten entschieden hat. Der Begründungspflicht ist Genüge getan. Andere Gehörsverletzungen sind nicht ersichtlich.</w:t>
      </w:r>
    </w:p>
    <w:p>
      <w:r>
        <w:rPr>
          <w:b/>
        </w:rPr>
        <w:t>E. 5.1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5.2</w:t>
      </w:r>
    </w:p>
    <w:p>
      <w:r>
        <w:t>Der Beschwerdeführer zitiert einzelne Aussagen des vorinstanzlichen Verfahrens, die angeblich falsch verstanden oder falsch berücksichtigt worden seien. Damit zeigt er nicht auf, in Bezug auf welches rechtserhebliche Element der Sachverhalt unvollständig oder unrichtig festgestellt worden sein soll. Solches ist auch nicht ersichtlich. Weitere Abklärungen erübrigen sich.</w:t>
      </w:r>
    </w:p>
    <w:p>
      <w:r>
        <w:rPr>
          <w:b/>
        </w:rPr>
        <w:t>E. 5.3</w:t>
      </w:r>
    </w:p>
    <w:p>
      <w:r>
        <w:t>Die Rügen der Verletzung der Begründungspflicht und der rechtsfehlerhaften Sachverhaltsfeststellung gehen fehl. Wie im Folgenden zu zeigen sein wird, sind auch die Beweiswürdigung und die Rechtsanwendung der Vorinstanz nicht zu beanstanden.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6.2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6.3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7.1</w:t>
      </w:r>
    </w:p>
    <w:p>
      <w:r>
        <w:t>Die Vorinstanz bejaht die Flüchtlingseigenschaft infolge illegaler Ausreise aus Eritrea, lehnt das Asylgesuch jedoch infolge Unglaubhaftigkeit der weiteren Vorbringen ab. So habe der Beschwerdeführer beispielsweise in der Erstbefragung zu Protokoll gebracht, er sei nach seiner Haftentlassung in den Militärdienst zurück gebracht worden. Laut seinen Angaben in der Anhörung sei er direkt nach der Haftentlassung nach Hause gegangen, von wo aus er geflohen sei. Sodann habe er widersprüchliche Daten zum Ende des geleisteten Militärdienstes angegeben. Des Weiteren habe er sich nach der Haftentlassung in B._______ versteckt gehalten und acht Monate gearbeitet. An anderer Stelle habe er zu Protokoll gegeben, nur wenige Wochen nach Haftentlassung Eritrea verlassen zu haben. Alsdann habe er in der Erstbefragung vorgebracht, nach der Haftentlassung nach Sawa und erst dann wieder an den Einsatzort gebracht worden zu sein, wohingegen er anlässlich der Zweitbefragung behaupte, man habe ihn direkt an den Einsatzort zurückgeschickt. Im Weiteren sei es dem Beschwerdeführer nicht gelungen, den Gefängnisaufenthalt substantiiert zu schildern.</w:t>
      </w:r>
    </w:p>
    <w:p>
      <w:r>
        <w:rPr>
          <w:b/>
        </w:rPr>
        <w:t>E. 7.2</w:t>
      </w:r>
    </w:p>
    <w:p>
      <w:r>
        <w:t>Der Beschwerdeführer wendet hiergegen ein, er habe durch die Haft, Misshandlung und Desertion durchaus asylrelevante Verfolgung erlitten. So sei er mehrmals nach dem Urlaub zuhause geblieben und sei von dort abgeholt worden. Für das Vergehen sei er jeweils militärisch bestraft worden, indem er beispielsweise Gruben habe ausheben müssen. Die schwierige Zeit nach der Haftentlassung könne nur noch ungenau rekonstruiert werden. Durch die Haft sei er stark traumatisiert worden. Die Zeit zwischen der Haftentlassung und der Desertion sei ihm schwer greifbar; er habe Mühe, aufgrund seiner Traumatisierung, diese Zeit korrekt wiederzugeben. Im Übrigen sei seine Antwort nicht so zu verstehen, dass er unmittelbar von zuhause ausgereist sei, sondern, dass er sich - im Urlaub vom Militär - zuerst zuhause aufgehalten habe und später ausgereist sei. Dadurch, dass in der Zweitbefragung aneinander vorbei geredet worden sei, sei er sichtbar verunsichert worden. Dies sogar so sehr, dass er geleugnet habe, sich in B._______ versteckt zu haben. Die ungenügende Zweitbefragung sei auch dem Hilfswerksvertreter aufgefallen. Im Übrigen seien die Aussagen zur Haft bereits anlässlich der Erstbefragung detailreich ausgefallen.</w:t>
      </w:r>
    </w:p>
    <w:p>
      <w:r>
        <w:rPr>
          <w:b/>
        </w:rPr>
        <w:t>E. 7.3</w:t>
      </w:r>
    </w:p>
    <w:p>
      <w:r>
        <w:t>Die Schlussfolgerung der Vorinstanz ist indes weder in tatsächlicher noch in rechtlicher Hinsicht zu beanstanden. Die Ausführungen des Beschwerdeführers erschöpfen sich sodann auch in Erklärungsversuchen, wie seine widersprüchlichen Antworten zu verstehen seien. Seine Ausführungen sind nicht geeignet, die Schlussfolgerung der Vorinstanz umzustossen oder in Frage zu stellen. Die gerügten Qualitätsmängel der Zweitbefragung lassen sich dem Protokoll ebenfalls nicht entnehmen. Die Vorinstanz hat die widersprüchlichen Aussagen der zentralen Punkte richtig erkannt. So trifft zu, dass die Schilderungen zu den Haftbedingungen und dem Alltag in Haft oberflächlich und substanzarm sind; sie vermitteln nicht den Eindruck, der Beschwerdeführer berichte von selbst Erlebtem (insb. SEM-Akten, A15 S. 7). Sodann gibt der Beschwerdeführer an, nach Eritrea deportiert worden zu sein. Es verwundert, dass er bei seiner Rückkehr in Eritrea - trotz Desertion und illegaler Ausreise - lediglich nach Hause geschickt worden sein soll, mit der Aufforderung, sich wieder zu melden (SEM-Akten, A15 S. 7 und Beschwerde S. 3). In Anbetracht der Vorgehensweise der eritreischen Behörden ist die Erklärung hierzu, es seien Feiertage gewesen, wenig plausibel. Weiter gibt er in der Erstbefragung zu Protokoll, er sei von 1997 bis 2004 im Militärdienst gewesen (SEM-Akten, A4 S. 8). Gemäss Zweitbefragung war es 1997 bis 2006 (SEM-Akten, A15 S. 3). Auf Beschwerdeebene will er "mehr oder weniger" bis 2006 Militärdienst geleistet haben (Beschwerde S. 6). Die zentralen Geschehnisse liegen sodann in einem Zeitraum, der gemäss Rechtsmitteleingabe nicht ohne Mühe korrekt wiedergeben werden kann (Beschwerde S. 6). In Anbetracht seiner Schilderungen anlässlich der Erstbefragung scheint dies jedoch nicht der Fall zu sein. Laut dieser will er sich beispielsweise vor seiner Ausreise für acht Monate in B._______ versteckt haben (SEM-Akten, A4 S. 8. f.). Er schildert dies in der Erstbefragung wiederholt und bis ins Detail eines gemieteten Zimmers und die dort verbrachte Zeit inklusive Arbeit. In der Zweitbefragung sagt er - sogar auf diesen Widerspruch direkt angesprochen - er sei nicht in B._______ gewesen (SEM-Akten, A15 S. 6 und insb. S. 9). Die Erklärung hierzu auf Beschwerdeebene, er habe den Aufenthalt in B._______ in der Zweitbefragung geleugnet, weil er durch die Art der Befragung eingeschüchtert worden sei, überzeugt nicht und ist dem Protokoll auch nicht zu entnehmen. Im Gegenteil, hat die Vorinstanz dem Beschwerdeführer doch die Möglichkeit gegeben, die Ungereimtheiten zu klären, was ihm nicht gelungen ist. Daran, und an den anderen Elementen der Unglaubhaftigkeit, vermag auch ein in Aussicht gestelltes ärztliches Zeugnis (Traumatisierung) nichts zu ändern und es kann auf dessen Nachreichung verzichtet werden. Um Wiederholungen zu vermeiden, ist auf die Ausführungen der Vorinstanz zu verwiesen. Die Gewährung von Asyl wurde folgerichtig verneint.</w:t>
      </w:r>
    </w:p>
    <w:p>
      <w:r>
        <w:rPr>
          <w:b/>
        </w:rPr>
        <w:t>E. 8</w:t>
      </w:r>
    </w:p>
    <w:p>
      <w:r>
        <w:t>Gemäss Art. 44 AsylG verfügt das Bundesamt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9</w:t>
      </w:r>
    </w:p>
    <w:p>
      <w:r>
        <w:t>Aus diesen Erwägungen ergibt sich, dass die angefochtene Verfügung Bundesrecht nicht verletzt und auch sonst nicht zu beanstanden ist (Art. 106 AsylG). Die Beschwerde ist abzuweisen.</w:t>
      </w:r>
    </w:p>
    <w:p>
      <w:r>
        <w:rPr>
          <w:b/>
        </w:rPr>
        <w:t>E. 10.1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im Sinne von Art. 65 Abs. 2 VwVG nicht stattgegeben werden.</w:t>
      </w:r>
    </w:p>
    <w:p>
      <w:r>
        <w:rPr>
          <w:b/>
        </w:rPr>
        <w:t>E. 10.2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