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E-5774/2015 vom 10. Mai 2016</w:t>
      </w:r>
    </w:p>
    <w:p>
      <w:r>
        <w:t>Bundesverwaltungsgericht, 2016-05-10, FR</w:t>
      </w:r>
    </w:p>
    <w:p>
      <w:r>
        <w:rPr>
          <w:b/>
        </w:rPr>
        <w:t xml:space="preserve">Quelle: </w:t>
      </w:r>
      <w:r>
        <w:t>https://mcp.opencaselaw.ch/entscheid/bvger_E-5774_2015</w:t>
      </w:r>
    </w:p>
    <w:p>
      <w:r>
        <w:t>FR: TAF E-5774/2015 du 10 mai 2016</w:t>
      </w:r>
    </w:p>
    <w:p>
      <w:r>
        <w:t>IT: TAF E-5774/2015 del 10 maggio 2016</w:t>
      </w:r>
    </w:p>
    <w:p>
      <w:pPr>
        <w:pStyle w:val="Heading2"/>
      </w:pPr>
      <w:r>
        <w:t>Regeste</w:t>
      </w:r>
    </w:p>
    <w:p>
      <w:r>
        <w:t>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La recourante a qualité pour recourir. Présenté dans la forme et dans les délais prescrits par la loi, le recours est recevable (art. 48 et 52 PA et art. 108 al. 1 LAsi).</w:t>
      </w:r>
    </w:p>
    <w:p>
      <w:r>
        <w:rPr>
          <w:b/>
        </w:rPr>
        <w:t>E. 2</w:t>
      </w:r>
    </w:p>
    <w:p>
      <w:r>
        <w:t>La recourante n'a pas recouru contre la décision du SEM en tant qu'elle rejette sa demande d'asile, de sorte que, sous cet angle, elle a acquis force de chose décidée.</w:t>
      </w:r>
    </w:p>
    <w:p>
      <w:r>
        <w:rPr>
          <w:b/>
        </w:rPr>
        <w:t>E. 3.1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Si ces conditions ne sont pas réunies, l'admission provisoire doit être prononcée. Celle-ci est réglée par l'art. 83 LEtr (RS 142.20).</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5.2</w:t>
      </w:r>
    </w:p>
    <w:p>
      <w:r>
        <w:t>En ce qui concerne les autres engagements de la Suisse relevant du droit international, il sied d'examiner particulièrement si l'art. 3 CEDH, qui interdit la torture, les peines ou traitements inhumains, trouve application dans le présent cas d'espèces.</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5.4</w:t>
      </w:r>
    </w:p>
    <w:p>
      <w:r>
        <w:t>En l'occurrence, le Tribunal constate que l'intéressée n'a fait valoir aucun élément de nature à établir la haute probabilité d'un risque de ce type. La description des visites de la police qu'elle a mentionnées ne comporte aucun détail précis, et il n'en ressort pas que les policiers se soient intéressés à elle. Dès lors, rien ne permet d'admettre que l'exécution du renvoi de la recourante sous forme de refoulement transgresse un engagement de la Suisse relevant du droit international, de sorte qu'elle s'avère licite (art. 44 LAsi et art.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w:t>
      </w:r>
    </w:p>
    <w:p>
      <w:r>
        <w:rPr>
          <w:b/>
        </w:rPr>
        <w:t>E. 6.2</w:t>
      </w:r>
    </w:p>
    <w:p>
      <w:r>
        <w:t>Il est notoire que l'Arménie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6.3</w:t>
      </w:r>
    </w:p>
    <w:p>
      <w:r>
        <w:t>En outre, il ne ressort du dossier aucun élément dont on pourrait inférer que l'exécution du renvoi impliquerait une mise en danger concrète de la recourante. A cet égard, l'autorité de céans relève qu'elle est jeune et n'a pas allégué de problème de santé particulier : en effet, le rapport médical produit ne fait état d'aucune affection nécessitant un traitement, et émet l'hypothèse d'éventuelles conséquences dommageables résultant des difficultés de réadaptation ; il n'exclut cependant pas un retour, et ne préconise pas de mesures préventives spécifiques. Plus généralement, s'agissant des conditions d'un retour en Arménie, le Tribunal constate que la recourante est maintenant majeure. Dès lors, les références qu'elle fait dans son recours au régime particulier réglant l'exécution du renvoi des mineurs, ne sont pas pertinentes. De plus, la bonne intégration en Suisse, qui constitue un élément essentiel pour décider la délivrance d'une autorisation de séjour dans le cas de rigueur (art. 14 al. 2 LAsi), n'est pas décisive pour trancher du caractère exécutable du renvoi. Dans ce contexte, il y a lieu de rappeler que l'intéressée, comme le relève le SEM, a vécu séparée de sa mère dès le départ de celle-ci pour la Suisse, en 2003, alors qu'elle n'avait que sept ans, et a ensuite été élevée par ses grands-parents. Dans la mesure où elle sera appelée à les retrouver, ainsi que son frère resté en Arménie, il y a lieu d'admettre qu'elle dispose d'un réseau non seulement social mais familial dans son pays, sur lequel elle pourra compter à son retour. L'hypothèse d'un déracinement intolérable en cas de départ de Suisse ne peut donc être retenue. De même, sans méconnaître les possibles difficultés de réadaptation que devra affronter la recourante, le Tribunal retient cependant que la présence de plusieurs proches et la bonne formation acquise tant en Arménie qu'en Suisse constituent à cet égard des facteurs favorables. Le fait que sa mère et ses deux jeunes frères résident en Suisse n'est donc pas déterminant.</w:t>
      </w:r>
    </w:p>
    <w:p>
      <w:r>
        <w:rPr>
          <w:b/>
        </w:rPr>
        <w:t>E. 6.4</w:t>
      </w:r>
    </w:p>
    <w:p>
      <w:r>
        <w:t>En conclusion, le Tribunal considère donc que l'intéressée est manifestement venue en Suisse pour rejoindre sa mère, alors qu'elle était encore mineure. Si cette aspiration était certes compréhensible, elle ne suffit pas, maintenant que la recourante a atteint sa majorité et dispose de bonnes perspectives de réintégration en Arménie, à justifier une prolongation de son séjour ; ce d'autant plus que rien n'indique concrètement qu'un retour dans son pays d'origine aurait des conséquences à ce point graves que l'exécution du renvoi en deviendrait inexigible.</w:t>
      </w:r>
    </w:p>
    <w:p>
      <w:r>
        <w:rPr>
          <w:b/>
        </w:rPr>
        <w:t>E. 7</w:t>
      </w:r>
    </w:p>
    <w:p>
      <w:r>
        <w:t>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8</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9.1</w:t>
      </w:r>
    </w:p>
    <w:p>
      <w:r>
        <w:t>L'assistance judiciaire totale ayant été accordée, il n'est pas perçu de frais.</w:t>
      </w:r>
    </w:p>
    <w:p>
      <w:r>
        <w:rPr>
          <w:b/>
        </w:rPr>
        <w:t>E. 9.2</w:t>
      </w:r>
    </w:p>
    <w:p>
      <w:r>
        <w:t>En cas de représentation d'office en matière d'asile, le tarif horaire est dans la règle de 200 à 220 francs pour les avocats, et de 100 à 150 francs pour les représentants n'exerçant pas la profession d'avocat (cf. art. 12 en rapport avec l'art. 10 al. 2 du règlement du 21 février 2008 concernant les frais, dépens et indemnités fixés par le Tribunal administratif fédéral [FITAF, RS 173.320.2]). Seuls les frais nécessaires sont indemnisés (art. 8 al. 2 FITAF). Dès lors, en application de l'art. 14 al. 2 FITAF, le Tribunal fixe l'indemnité du mandataire d'office, au vu du dossier, à raison de 3h de travail au tarif horaire de 150 francs, à la somme globale de 450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