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E-5767/2023 vom 17. Oktober 2023</w:t>
      </w:r>
    </w:p>
    <w:p>
      <w:r>
        <w:t>Bundesverwaltungsgericht, 2023-10-17, DE</w:t>
      </w:r>
    </w:p>
    <w:p>
      <w:r>
        <w:rPr>
          <w:b/>
        </w:rPr>
        <w:t xml:space="preserve">Quelle: </w:t>
      </w:r>
      <w:r>
        <w:t>https://mcp.opencaselaw.ch/entscheid/bvger_E-5767_2023_d20231017</w:t>
      </w:r>
    </w:p>
    <w:p>
      <w:r>
        <w:t>FR: TAF E-5767/2023 du 17 octobre 2023</w:t>
      </w:r>
    </w:p>
    <w:p>
      <w:r>
        <w:t>IT: TAF E-5767/2023 del 17 ottobre 2023</w:t>
      </w:r>
    </w:p>
    <w:p>
      <w:pPr>
        <w:pStyle w:val="Heading2"/>
      </w:pPr>
      <w:r>
        <w:t>Regeste</w:t>
      </w:r>
    </w:p>
    <w:p>
      <w:r>
        <w:t>Asyl und Wegweisung | Revision; Urteil des Bundesverwaltungsgerichts vom 17. Oktober 2023 (E-4317/2023)</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 et al., Prozessieren vor dem Bundesverwaltungsgericht,</w:t>
      </w:r>
    </w:p>
    <w:p>
      <w:r>
        <w:rPr>
          <w:b/>
        </w:rPr>
        <w:t>E. 2.1</w:t>
      </w:r>
    </w:p>
    <w:p>
      <w:r>
        <w:t>Die Kostenformel bildet bei sämtlichen Arten der Verfahrenserledigung einen eigenständigen Urteilsspruch. Ein Revisionsgesuch, das sich einzig gegen die Kosten- und Entschädigungsregelung richtet, ist daher zulässig, wenn sich der angerufene Revisionsgrund direkt auf die Kosten- und Entschädigungsfestsetzung bezieht (vgl. Urteil E-3730/2016 des BVGer vom 23. Juni 2016 E. 2 m. H. auf Entscheidungen und Mitteilungen der ARK [EMARK] 2000 Nr. 29 E. 2). Das vorliegende Begehren bezieht sich einzig auf den Entschädigungspunkt im Abschreibungsentscheid vom 17. Oktober 2023 und beschränkt sich mithin auf die zulässige Rüge bezüglich der vom Gericht in seinem Entscheid übersehenen Kostennote.</w:t>
      </w:r>
    </w:p>
    <w:p>
      <w:r>
        <w:rPr>
          <w:b/>
        </w:rPr>
        <w:t>E. 2.2</w:t>
      </w:r>
    </w:p>
    <w:p>
      <w:r>
        <w:t>Im Revisionsgesuch ist der angerufene Revisionsgrund anzugeben und die Rechtzeitigkeit des Revisionsbegehrens im Sinne von Art. 124 BGG darzutun.</w:t>
      </w:r>
    </w:p>
    <w:p>
      <w:r>
        <w:rPr>
          <w:b/>
        </w:rPr>
        <w:t>E. 2.3</w:t>
      </w:r>
    </w:p>
    <w:p>
      <w:r>
        <w:t>Der Gesuchsteller beruft sich auf den Revisionsgrund der versehentlichen Nichtberücksichtigung von in den Akten liegenden erheblichen Tatsachen (Art. 121 Bst. d BGG) im Entschädigungspunkt. Zudem erfolgte die Eingabe vom 19. Oktober 2023 innert der zu beachtenden Fristen (Art. 124 Abs. 1 Bst. b BGG) und damit rechtzeitig. Auf das frist- und formgerecht eingereichte Revisionsgesuch ist deshalb einzutreten.</w:t>
      </w:r>
    </w:p>
    <w:p>
      <w:r>
        <w:rPr>
          <w:b/>
        </w:rPr>
        <w:t>E. 3</w:t>
      </w:r>
    </w:p>
    <w:p>
      <w:r>
        <w:t>Aufl. 2022, S. 348 Rz. 5.36). 2. 2.1 Die Kostenformel bildet bei sämtlichen Arten der Verfahrenserledigung einen eigenständigen Urteilsspruch. Ein Revisionsgesuch, das sich einzig gegen die Kosten- und Entschädigungsregelung richtet, ist daher zulässig, wenn sich der angerufene Revisionsgrund direkt auf die Kosten- und Ent- schädigungsfestsetzung bezieht (vgl. Urteil E-3730/2016 des BVGer vom 23. Juni 2016 E. 2 m. H. auf Entscheidungen und Mitteilungen der ARK [EMARK] 2000 Nr. 29 E. 2). Das vorliegende Begehren bezieht sich einzig auf den Entschädigungs- punkt im Abschreibungsentscheid vom 17. Oktober 2023 und beschränkt</w:t>
      </w:r>
    </w:p>
    <w:p>
      <w:r>
        <w:t>E-5767/2023 Seite 4 sich mithin auf die zulässige Rüge bezüglich der vom Gericht in seinem Entscheid übersehenen Kostennote. 2.2 Im Revisionsgesuch ist der angerufene Revisionsgrund anzugeben und die Rechtzeitigkeit des Revisionsbegehrens im Sinne von Art. 124 BGG darzutun. 2.3 Der Gesuchsteller beruft sich auf den Revisionsgrund der versehentli- chen Nichtberücksichtigung von in den Akten liegenden erheblichen Tatsa- chen (Art. 121 Bst. d BGG) im Entschädigungspunkt. Zudem erfolgte die Eingabe vom 19. Oktober 2023 innert der zu beachtenden Fristen (Art. 124 Abs. 1 Bst. b BGG) und damit rechtzeitig. Auf das frist- und formgerecht eingereichte Revisionsgesuch ist deshalb einzutreten.</w:t>
      </w:r>
    </w:p>
    <w:p>
      <w:r>
        <w:rPr>
          <w:b/>
        </w:rPr>
        <w:t>E. 3.1</w:t>
      </w:r>
    </w:p>
    <w:p>
      <w:r>
        <w:t>Gemäss Art. 121 Bst. d BGG zieht das Bundesverwaltungsgericht sei- nen Entscheid auf Begehren einer Partei in Revision, wenn es in den Akten liegende erhebliche Tatsachen aus Versehen nicht berücksichtigt hat. Der Revisionsgrund setzt voraus, dass eine erhebliche Tatsache im Zeitpunkt des Entscheids tatsächlich bei den Akten lag, das Gericht sie dennoch nicht berücksichtigte und die Nichtberücksichtigung auf ein Versehen zurückzu- führen ist.</w:t>
      </w:r>
    </w:p>
    <w:p>
      <w:r>
        <w:rPr>
          <w:b/>
        </w:rPr>
        <w:t>E. 3.2</w:t>
      </w:r>
    </w:p>
    <w:p>
      <w:r>
        <w:t>Der Gesuchsteller bringt zu Recht vor, das Bundesverwaltungsgericht habe in seinem Abschreibungsentscheid im Entschädigungspunkt die von seinem Rechtsvertreter am 27. September 2023 übermittelte Kostennote nicht berücksichtigt. So ergibt sich aus den Beschwerdeakten E-4317/2023, dass mit erwähnter Eingabe vom 27. September 2023 eine detaillierte Kostennote eingereicht wurde, jedoch im Abschreibungsent- scheid festgehalten wurde, es sei keine Kostennote vorhanden. In der Folge wurde die Parteientschädigung nicht gemäss der Kostennote be- messen, sondern auf Grund der Akten festgesetzt. Damit fand unabsicht- lich eine in den Akten liegende Tatsache keine Berücksichtigung. Der an- gerufene Revisionsgrund ist zudem revisionsrechtlich erheblich, zumal die Parteientschädigung daher anders zu berechnen ist und diese denn auch – wie sich nachstehend ergibt (E. 4) – in der Summe höher ausfällt.</w:t>
      </w:r>
    </w:p>
    <w:p>
      <w:r>
        <w:rPr>
          <w:b/>
        </w:rPr>
        <w:t>E. 3.3</w:t>
      </w:r>
    </w:p>
    <w:p>
      <w:r>
        <w:t>Bei dieser Sachlage ist das auf den Entschädigungspunkt beschränkte Revisionsgesuch gutzuheissen, die Dispositiv-Ziffer 3 im Abschreibungs- entscheid E-4713/2023 ist aufzuheben und das Beschwerdeverfahren, be- schränkt auf den Entschädigungspunkt, wieder aufzunehmen.</w:t>
      </w:r>
    </w:p>
    <w:p>
      <w:r>
        <w:t>E-5767/2023 Seite 5</w:t>
      </w:r>
    </w:p>
    <w:p>
      <w:r>
        <w:rPr>
          <w:b/>
        </w:rPr>
        <w:t>E. 4.1</w:t>
      </w:r>
    </w:p>
    <w:p>
      <w:r>
        <w:t>Gestützt auf Art. 64 Abs. 1 VwVG und Art. 7 bis 15 VGKE ist dem Ge- suchsteller eine durch das SEM zu leistende Parteientschädigung zuzu- sprechen, für deren Berechnung nunmehr die eingereichte Kostennote ausschlaggebend ist (Art. 14 Abs. 2 erster Satz VGKE). Die Kostennote ist hinreichend detailliert, weshalb in dieser Sache abschliessend entschieden werden kann.</w:t>
      </w:r>
    </w:p>
    <w:p>
      <w:r>
        <w:rPr>
          <w:b/>
        </w:rPr>
        <w:t>E. 4.2</w:t>
      </w:r>
    </w:p>
    <w:p>
      <w:r>
        <w:t>In der Kostennote vom 27. September 2023 wurde ein zeitlicher Auf- wand von 610 Minuten zu einem Stundenansatz von Fr. 300.– geltend ge- macht. Der ausgewiesene Zeitaufwand erscheint angemessen. Der Stun- denansatz bewegt sich im Rahmen von Art. 10 Abs. 2 VGKE. Die Auslagen in der Höhe von Fr. 113.85 erscheinen ebenfalls angemessen. Die vom SEM auszurichtende Parteientschädigung im Verfahren E-4317/2023 be- trägt demnach gerundet Fr. 3163.85 (inkl. Auslagen).</w:t>
      </w:r>
    </w:p>
    <w:p>
      <w:r>
        <w:rPr>
          <w:b/>
        </w:rPr>
        <w:t>E. 5.1</w:t>
      </w:r>
    </w:p>
    <w:p>
      <w:r>
        <w:t>Bei diesem Ausgang des Revisionsverfahrens sind keine Verfahrens- kosten aufzuerlegen (Art. 63 Abs. 1 und 3 i.V.m. Art. 68 Abs. 2 VwVG).</w:t>
      </w:r>
    </w:p>
    <w:p>
      <w:r>
        <w:rPr>
          <w:b/>
        </w:rPr>
        <w:t>E. 5.2</w:t>
      </w:r>
    </w:p>
    <w:p>
      <w:r>
        <w:t>Der Gesuchsteller ist mit seinem Revisionsbegehren durchgedrungen, weshalb ihm für die aus diesem Verfahren erwachsenen notwendigen und verhältnismässig hohen Kosten eine Parteientschädigung zuzusprechen ist (Art. 64 Abs. 1 VwVG i.V.m. Art. 7 Abs. 1 VGKE), welche vorliegend auf Fr. 150.– (inkl. Auslagen) festzusetzen und vom Bundesverwaltungsgericht auszurichten ist.</w:t>
      </w:r>
    </w:p>
    <w:p>
      <w:r>
        <w:t>(Dispositiv nächste Seite)</w:t>
      </w:r>
    </w:p>
    <w:p>
      <w:r>
        <w:t>E-5767/2023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