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E-5765/2008 vom 18. Oktober 2010</w:t>
      </w:r>
    </w:p>
    <w:p>
      <w:r>
        <w:t>Bundesverwaltungsgericht, 2010-10-18, FR</w:t>
      </w:r>
    </w:p>
    <w:p>
      <w:r>
        <w:rPr>
          <w:b/>
        </w:rPr>
        <w:t xml:space="preserve">Quelle: </w:t>
      </w:r>
      <w:r>
        <w:t>https://mcp.opencaselaw.ch/entscheid/bvger_E-5765_2008</w:t>
      </w:r>
    </w:p>
    <w:p>
      <w:r>
        <w:t>FR: TAF E-5765/2008 du 18 octobre 2010</w:t>
      </w:r>
    </w:p>
    <w:p>
      <w:r>
        <w:t>IT: TAF E-5765/2008 del 18 ottobre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conformément à l'art. 105 de la loi sur l'asile du 26 juin 1998 (LAsi, RS 142.31).</w:t>
      </w:r>
    </w:p>
    <w:p>
      <w:r>
        <w:rPr>
          <w:b/>
        </w:rPr>
        <w:t>E. 1.2</w:t>
      </w:r>
    </w:p>
    <w:p>
      <w:r>
        <w:t>Le Tribunal tient compte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2consid. 8 p. 20ss, JICRA 1997 n° 27 consid. 4f p. 211, JICRA 1995 n° 5 consid. 6a p. 43, JICRA 1994 n° 6 consid. 5 p. 52). Il prend ainsi en considération l'évolution de la situation intervenue depuis le dépôt de la demande d'asile.</w:t>
      </w:r>
    </w:p>
    <w:p>
      <w:r>
        <w:rPr>
          <w:b/>
        </w:rPr>
        <w:t>E. 1.3</w:t>
      </w:r>
    </w:p>
    <w:p>
      <w:r>
        <w:t>Le recourant a qualité pour recourir. Présenté dans la forme et les délais prescrits par la loi, le recours est recevable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est en contact pour la première fois avec les services de sécurité de l'Etat (cf. JICRA 1994 n° 24 p. 171ss et JICRA 1993 n° 11 p. 67ss).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JICRA 2004 no 1 consid. 6a p. 9, JICRA 1993 n° 21 p. 134ss et JICRA 1993 n° 11 p. 67ss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considère que les déclarations du recourant ne satisfont pas aux exigences de vraisemblance posées à l'art. 7 LAsi.</w:t>
      </w:r>
    </w:p>
    <w:p>
      <w:r>
        <w:rPr>
          <w:b/>
        </w:rPr>
        <w:t>E. 3.2</w:t>
      </w:r>
    </w:p>
    <w:p>
      <w:r>
        <w:t>A cet égard, il y a lieu de relever que l'intéressé a, à maintes reprises, tenu des propos contradictoires et que ses déclarations se sont révélées peu détaillées et inconsistantes sur l'ensemble de son récit. Le recourant est, en particulier, resté très vague sur les circonstances dans lesquelles il se rencontrait avec son amie (pv. de l'audition fédérale p. 6-7). Il a, en outre, déclaré avoir décidé de se marier avec son amie depuis le mois de janvier 2006 environ (pv. de l'audition sommaire p.5), puis a parlé du jour où la mère de son amie lui aurait parlé de la grossesse (pv. de l'audition cantonale p. 9) et enfin qu'ils en auraient parlé depuis le mois de juin 2006 (pv. de l'audition fédérale p.8). De même, il a affirmé avoir accepté de demander la main de son amie, avant de prétendre qu'il ne voulait pas se marier avec une fille plus âgée que lui et qu'il n'avait pas le temps de lui demander sa main dès lors qu'elle était déjà enceinte (pv. de l'audition sommaire p. 5, pv. de l'audition cantonale p. 9, pv. de l'audition fédérale p. 8-9). D'ailleurs, au sujet de ladite grossesse, il a indiqué que son amie était tombée enceinte au mois de juillet 2006 puis qu'il ignorait la date de la conception ainsi que celle du terme (pv. de l'audition sommaire p. 4, pv. de l'audition fédérale p. 9); il a ensuite encore précisé qu'au mois de juillet 2006, son amie pouvait accoucher dans les trois ou trois mois (pv. de l'audition fédérale p. 10). S'agissant de la date du décès de son amie, le recourant a d'abord parlé du 2 août 2006, puis de un ou deux jours avant le 2 août 2006, et enfin de la nuit du 1er au 2 août (pv. de l'audition sommaire p. 4, pv. de l'audition cantonale p.9, pv. de l'audition fédérale p.11). Il a également indiqué, dans un premier temps, avoir appris cette nouvelle par sa mère le 2 août 2006 alors qu'il rentrait du travail (pv. de l'audition cantonale p. 9), puis, dans un deuxième temps, que sa boutique était fermée ce jour-là (pv. de l'audition fédérale p.4). De plus, les circonstances dans lesquelles le père de son amie aurait découvert l'existence de la prétendue grossesse ne sont pas davantage expliquées que celles dans lesquelles sa mère aurait appris ledit décès (pv. de l'audition sommaire p. 5, pv. de l'audition cantonale p. 9, pv. de l'audition fédérale p. 11). Par ailleurs, l'intéressé a affirmé s'être caché chez sa tante du 2 août au 21 août 2006, puis durant dix jours (pv. de l'audition cantonale p.11, pv. de l'audition fédérale p. 12). Finalement, il a prétendu que les membres de sa famille avaient été embêtés par la famille de son amie, puis qu'il était recherché par les frères et les oncles de son amie, puis enfin que seul le frère aîné de cette dernière avait interrogé son propre frère (pv. de l'audition sommaire p. 5, pv. de l'audition cantonale p. 11, pv. de l'audition fédérale p.14-15).</w:t>
      </w:r>
    </w:p>
    <w:p>
      <w:r>
        <w:rPr>
          <w:b/>
        </w:rPr>
        <w:t>E. 3.3</w:t>
      </w:r>
    </w:p>
    <w:p>
      <w:r>
        <w:t>Entendu sur ces contradictions, l'intéressé n'a fourni aucune explication convaincante, puisqu'il s'est contenté d'invoquer des malentendus (pv. de l'audition cantonale p. 13). De plus, il n'a, dans son mémoire de recours, donné aucun indice concret ou élément de nature probante susceptible de justifier l'ensemble des invraisemblances constatées, à juste titre, par l'ODM dans la décision attaquée. Une certaine discrétion culturelle ainsi qu'un état émotionnel fragile dû à la nouvelle du décès de son amie ne sauraient constituer des arguments décisifs, le premier n'étant à l'évidence pas suffisant pour expliquer l'ensemble des lacunes relevées et le second contredisant les réponses données par le recourant quant à ses réactions à la nouvelle de la grossesse, respectivement du décès, de son amie (pv. de l'audition fédérale p.11). Quant au fait que les contradictions retenues porteraient sur des éléments mineurs, il s'agit d'une simple appréciation du mandataire, laquelle ne saurait modifier l'analyse développée ci-dessus. Le Tribunal conclut dès lors que le recourant n'a nullement établi l'existence d'indices réels et concrets permettant d'admettre la vraisemblance d'une crainte fondée de persécution.</w:t>
      </w:r>
    </w:p>
    <w:p>
      <w:r>
        <w:rPr>
          <w:b/>
        </w:rPr>
        <w:t>E. 3.4</w:t>
      </w:r>
    </w:p>
    <w:p>
      <w:r>
        <w:t>Il s'ensuit que le recours, en tant qu'il conteste la non-reconnaissance de la qualité de réfugié et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considère que l'exécution du renvoi au Kurdistan irakien - plus précisément dans l'une des trois provinces d'Erbil, de Dohouk et de Souleymanieh - est actuellement licite tant du point de vue de la sécurité que de celui du respect des droits de l'homme (cf. ATAF 2008/4 consid. 6.2 à 6.6 p. 42ss). De plus, rien dans le dossier n'indique que l'exécution du renvoi du recourant au Kurdistan irakien l'exposerait à un risque concret et sérieux de peines ou traitements prohibés par le droit international, ses déclarations ayant été considérées comme invraisemblables (cf. consid. 3 ci-dessus).</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Il y a, tout d'abord, lieu de rappeler que, si la situation sécuritaire dans le Kurdistan irakien est encore tendue, elle est toutefois maintenant suffisamment calme et stable pour que l'on puisse admettre que les autorités kurdes sont, en principe, capables de fournir une protection adéquate contre des persécutions. Les trois provinces d'Erbil, de Dohouk et de Suleymanieh ne sont plus le théâtre de violences généralisées et ne connaissent pas une situation politique tendue au point qu'elle rendrait, de manière générale, l'exécution du renvoi inexigible. L'exécution du renvoi est, dès lors, considérée comme raisonnablement exigible, lorsqu'elle concerne une personne jeune provenant de l'une ou l'autre de ces trois provinces, dans laquelle elle dispose d'un réseau social ou familial (cf. ATAF 2008/4 précité et ATAF 2008/5 consid. 7.5).</w:t>
      </w:r>
    </w:p>
    <w:p>
      <w:r>
        <w:rPr>
          <w:b/>
        </w:rPr>
        <w:t>E. 7.3</w:t>
      </w:r>
    </w:p>
    <w:p>
      <w:r>
        <w:t>En outre, il ne ressort du dossier aucun élément dont on pourrait inférer que l'exécution du renvoi impliquerait une mise en danger concrète du recourant. Le recourant, qui est encore jeune, n'a, en effet, pas allégué de problème de santé particulier. Il a, en outre, déclaré avoir eu de bonnes conditions de vie et bénéficie d'une expérience professionnelle en tant que commerçant et gérant d'une boutique (pv. de l'audition sommaire p. 2, pv. de l'audition cantonale p. 7, pv. de l'audition fédérale p. 4). Il dispose, enfin, d'un réseau familial et social dans son pays, sur lequel il pourra compter à son retour, sa mère et ses tantes l'ayant d'ailleurs déjà aidé avant son départ du pays (pv. de l'audition sommaire p. 3, pv. de l'audition fédérale p. 3).</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La demande d'assistance judiciaire partielle ayant été rejetée par décision incidente du 17 septembre 2008, il y a lieu de mettre les frais de procédure à la charge du recourant, conformément aux art. 63 al. 1 PA et 2 et 3 let. b du règlement du 21 février 2008 concernant les frais, dépens et indemnités fixés par le Tribunal administratif fédéral (FITAF, RS 173.320.2). Ce montant est compensé avec l'avance en garantie des frais présumés de la procédure versés en date du 27 septembre 2008.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