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E-5755/2016 vom 22. Dezember 2017</w:t>
      </w:r>
    </w:p>
    <w:p>
      <w:r>
        <w:t>Bundesverwaltungsgericht, 2017-12-22, DE</w:t>
      </w:r>
    </w:p>
    <w:p>
      <w:r>
        <w:rPr>
          <w:b/>
        </w:rPr>
        <w:t xml:space="preserve">Quelle: </w:t>
      </w:r>
      <w:r>
        <w:t>https://mcp.opencaselaw.ch/entscheid/bvger_E-5755_2016</w:t>
      </w:r>
    </w:p>
    <w:p>
      <w:r>
        <w:t>FR: TAF E-5755/2016 du 22 décembre 2017</w:t>
      </w:r>
    </w:p>
    <w:p>
      <w:r>
        <w:t>IT: TAF E-5755/2016 del 22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3.4</w:t>
      </w:r>
    </w:p>
    <w:p>
      <w:r>
        <w:t>Die Vorinstanz führt in der angefochtenen Verfügung aus, die Angaben des Beschwerdeführers zur Flüchtlingseigenschaft hielten den Anforderungen an die Glaubhaftigkeit gemäss Art. 7 AsylG nicht stand. Zudem seien die Vorbringen bezüglich der illegalen Ausreise aus Eritrea, ohne auf deren Glaubhaftigkeit einzugehen, asylrechtlich unbeachtlich.</w:t>
      </w:r>
    </w:p>
    <w:p>
      <w:r>
        <w:rPr>
          <w:b/>
        </w:rPr>
        <w:t>E. 3.4.1</w:t>
      </w:r>
    </w:p>
    <w:p>
      <w:r>
        <w:t>Dies begründet sie unter anderem damit, dass der Beschwerdeführer unterschiedliche Zeitangaben zu seiner Haft gemacht habe. Bei der BzP habe er angegeben, vom Jahr (...) bis Oktober (...) im Militär und vom Jahr (...) bis Juni (...) im Gefängnis gewesen zu sein (SEM-Akte A4 S. 8-9). Während der Anhörung habe er zuerst gesagt, er sei im Jahr 1998 festgenommen worden und bis ins Jahr (...) im Dienst gewesen; ab Ende (...) bis ins Jahr (...) sei er in Haft gewesen (SEM-Akte A19 F30, F55). Später habe er behauptet, er sei Ende 2002 verhaftet worden (SEM-Akte A19 F58 f.). Zu den Haftgründen habe er in der BzP darauf hingewiesen, dass er grundlos inhaftiert worden sei. Es sei seine Schuld gewesen, dass er immer etwas gegessen und gute Kleidung getragen habe. Man wollte wissen, woher er die Sachen habe (SEM-Akte A4 S. 9). Bei der Anhörung hingegen habe er keine Angaben und auch keine Vermutung zu den Haftgründen machen können (SEM-Akte A19 F57, 61). Auf Nachfrage hin habe er die Aussage bei der BzP dann bestätigt (SEM-Akte A19 F80). Hinzu komme, dass seine Angaben zum Verhalten nach der Desertion unterschiedlich ausgefallen seien. Bei der BzP habe er erwähnt, er sei bis Oktober (...) im Militär gewesen und im Dezember (...) sei er in den Sudan gereist (SEM-Akte A4 S. 7 f.). Bei der Anhörung habe er jedoch angegeben, Ende (...) desertiert zu sein. Danach sei er zwei Tage in D._______ und zwei Tage in E._______ gewesen, bis er in den Sudan gereist sei (SEM-Akte A19 F30, F65 ff.). Auf Nachfrage hin habe er behauptet, im Oktober (...) nach D._______ gegangen zu sein. Danach sei er aber nicht ausgereist, sondern wieder zum Dienst zurückgekehrt und erst später ausgereist (SEM-Akte A19 F81). Ferner würde die zu den Akten gereichte Bescheinigung bestätigen, dass er am 1. Januar (...) aus dem Militärdienst entlassen worden sei. Dies sei ein Hinweis dafür, dass er den Militärdienst Jahre vor seiner angeblichen Desertion beendet habe (SEM-Akte A19 F82). Insgesamt seien die Vorbringen unterschiedlich, widersprüchlich, nicht nachvollziehbar und somit als unglaubhaft zu qualifizieren.</w:t>
      </w:r>
    </w:p>
    <w:p>
      <w:r>
        <w:rPr>
          <w:b/>
        </w:rPr>
        <w:t>E. 3.4.2</w:t>
      </w:r>
    </w:p>
    <w:p>
      <w:r>
        <w:t>Zur Asylrelevanz der illegalen Ausreise führt die Vorinstanz aus, dass die Behandlung von Rückkehrenden, welche Eritrea illegal verlassen hätten, zur Hauptsache davon abhänge,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Die Vorinstanz hält dazu in der Verfügung fest, der Beschwerdeführer habe weder den Nationaldienst verweigert noch sei er desertiert, da seine diesbezüglichen Vorbringen unglaubhaft seien. Demnach habe er nicht gegen die Proclamation on National Service von 1995 verstossen und den Akten sei auch sonst nichts zu entnehmen, wonach er bei einer Rückkehr ernsthafte Nachteile zu gewärtigen hätte. Damit seien die Anforderungen an die Feststellung einer begründeten Furcht vor zukünftiger Verfolgung nicht erfüllt. Seine Vorbringen bezüglich der illegalen Ausreise aus Eritrea seien asylrechtlich unbeachtlich.</w:t>
      </w:r>
    </w:p>
    <w:p>
      <w:r>
        <w:rPr>
          <w:b/>
        </w:rPr>
        <w:t>E. 3.5</w:t>
      </w:r>
    </w:p>
    <w:p>
      <w:r>
        <w:t>Der Beschwerdeführer hält in der Beschwerde an der Glaubhaftigkeit seiner Vorbringen fest und rügt damit, die Vorinstanz habe den Massstab des Glaubhaftmachens nicht richtig angewendet, mithin Bundesrecht verletzt. Ferner macht er geltend, die Vorinstanz gehe zu Unrecht davon aus, eine illegale Ausreise aus Eritrea sei nicht (mehr) asylrelevant; die diesbezügliche Praxisänderung verstosse überdies gegen die vom Bundesverwaltungsgericht formulierten Anforderungen an eine Praxisänderung.</w:t>
      </w:r>
    </w:p>
    <w:p>
      <w:r>
        <w:rPr>
          <w:b/>
        </w:rPr>
        <w:t>E. 3.5.1</w:t>
      </w:r>
    </w:p>
    <w:p>
      <w:r>
        <w:t>Vorab sei festzustellen, dass die Vorinstanz die Kriterien, die für die Glaubwürdigkeit des Beschwerdeführers sprächen, unbeachtet gelassen habe.</w:t>
      </w:r>
    </w:p>
    <w:p>
      <w:r>
        <w:rPr>
          <w:b/>
        </w:rPr>
        <w:t>E. 3.5.2</w:t>
      </w:r>
    </w:p>
    <w:p>
      <w:r>
        <w:t>Zu den unterschiedlichen Zeitangaben bezüglich Militärdienst und Inhaftierung hält der Beschwerdeführer in seiner Beschwerde fest, dass die vorgebrachten Ereignisse bis ins Jahr 1998 zurückgehen würden und dadurch eine präzise Zeitangabe schwierig sei. Dies habe sich anlässlich der Anhörung gezeigt, als er den genauen Monat seiner Haftentlassung nicht habe nennen können. Auch sei der summarische Charakter der BzP zu berücksichtigen. Zur Bescheinigung des Entlassungsamtes vom 1. Januar (...) gibt er an, aufgrund seiner (...) habe er keinen aktiven Dienst als Soldat mehr verrichten können, er sei jedoch weiterhin als Militärangehöriger im (...) angestellt gewesen. Den Grund für seine Inhaftierung kenne er nicht, die Aussage bezüglich Essen und Kleidung habe lediglich aufzeigen sollen, dass Verhaftungen in Eritrea willkürlich geschehen würden. Insgesamt spreche eine Gesamtwürdigung aller Elemente klar für seine Glaubwürdigkeit, weshalb er als Flüchtling anzuerkennen und ihm Asyl zu gewähren sei.</w:t>
      </w:r>
    </w:p>
    <w:p>
      <w:r>
        <w:rPr>
          <w:b/>
        </w:rPr>
        <w:t>E. 3.5.3</w:t>
      </w:r>
    </w:p>
    <w:p>
      <w:r>
        <w:t>Der Beschwerdeführer begründet die Flüchtlingseigenschaft ausserdem damit, dass er illegal aus Eritrea ausgereist sei. Hierzu macht er geltend, dass die Vorinstanz eine unzulässige Praxisänderung vorgenommen und die geltenden COI-Standards nicht respektiert habe. Bis anhin habe die illegale Ausreise zur Feststellung der Flüchtlingseigenschaft geführt. Gemäss geltender Rechtsprechung habe sich das SEM an die Praxis des Bundesverwaltungsgerichts zu halten. Bei einer Praxisänderung seien die Vorgaben gemäss BVGE 2010/54 einzuhalten. Dem sei die Vorinstanz vorliegend nicht nachgekommen. Zudem liege mangels neuer Herkunftsländerinformationen kein Grund für eine Praxisänderung vor. Schliesslich komme die Verneinung der Flüchtlingseigenschaft einem unzumutbaren Diskretionserfordernis gleich. Ihm könne weder die Unterzeichnung des Reueschreibens und die Bezahlung der 2% Steuer noch ein regimetreues Verhalten zugemutet werden.</w:t>
      </w:r>
    </w:p>
    <w:p>
      <w:r>
        <w:rPr>
          <w:b/>
        </w:rPr>
        <w:t>E. 3.6</w:t>
      </w:r>
    </w:p>
    <w:p>
      <w:r>
        <w:t>Das SEM führt in seiner Vernehmlassung aus, dass auch die Hinweise in der Beschwerdeschrift die Widersprüche nicht zu entkräften vermöchten, dass die Praxisanpassung nicht mit BVGE 2010/54 vergleichbar sei und dass das SEM mit Hilfe aller zur Verfügung stehenden Informationen zum Schluss gekommen sei, die illegale Ausreise für sich allein führe nicht zur Flüchtlingseigenschaft.</w:t>
      </w:r>
    </w:p>
    <w:p>
      <w:r>
        <w:rPr>
          <w:b/>
        </w:rPr>
        <w:t>E. 3.7</w:t>
      </w:r>
    </w:p>
    <w:p>
      <w:r>
        <w:t>In der Replik hält der Beschwerdeführer an seinen Anträgen fest und ergänzt seine Vorbringen in der Beschwerdeschrift bezüglich Bezahlung der 2% Steuer und Unterzeichnung des Reueformulars mit weiteren Quellenangaben.</w:t>
      </w:r>
    </w:p>
    <w:p>
      <w:r>
        <w:rPr>
          <w:b/>
        </w:rPr>
        <w:t>E. 4.1</w:t>
      </w:r>
    </w:p>
    <w:p>
      <w:r>
        <w:t>Auch das Gericht ist nach Durchsicht der Akten der Auffassung, dass die vorstehend aufgeführten Kriterien der Glaubhaftmachung mit Blick auf die Asylvorbringen des Beschwerdeführers nicht als erfüllt zu erachten sind. Daran vermögen die Hinweise in der Beschwerdeeingabe und in der Replik nichts zu ändern. In Übereinstimmung mit der Vorinstanz ist festzuhalten, dass die fluchtauslösenden Ausführungen zu unterschiedlich und widersprüchlich dargestellt werden, als dass sie geglaubt werden können. Es rechtfertigt sich an dieser Stelle, auf die Erwägungen des SEM (oben E. 3.4) zu verweisen.</w:t>
      </w:r>
    </w:p>
    <w:p>
      <w:r>
        <w:rPr>
          <w:b/>
        </w:rPr>
        <w:t>E. 4.1.1</w:t>
      </w:r>
    </w:p>
    <w:p>
      <w:r>
        <w:t>Insbesondere sind die unterschiedlichen Angaben zur Haftdauer nicht nachvollziehbar. Bei einem solch einschneidenden Erlebnis wäre zu erwarten, dass sich der Beschwerdeführer an die Zeitpunkte der Inhaftierung und Haftentlassung erinnern kann. Der Hinweis, dieses Ereignis sei sehr lange her, vermag daran nichts zu ändern (Beschwerde S. 6). Auch die widersprüchlichen Angaben zur Desertion und Ausreise konnten nicht geklärt werden. So ist nicht verständlich, wieso der Beschwerdeführer an der BzP angab, er sei im Oktober (...) desertiert und im Dezember (...) ausgereist, während er an der Anhörung angab, er sei Ende (...) desertiert und 4 Tage danach in den Sudan gereist. Die Hinweise dazu in der Beschwerdeschrift vermögen diesen Widerspruch nicht zu erklären. Schliesslich führte der Beschwerdeführer eine Wehrdienstbescheinigung mit sich, die die Entlassung aus dem Militärdienst am 1. Januar (...) bestätigt. Dies spricht dafür, dass er nicht desertiert ist, sondern regulär aus dem Dienst entlassen wurde. Die Erklärung bei der Anhörung und in der Beschwerde, er sei auch nach Erhalt dieser Bestätigung bis Ende (...) nicht entlassen worden, ist unglaubhaft. Der Hinweis, dass er diese nur erhalten habe, weil er wegen (...) nicht mehr für den aktiven Dienst habe eingesetzt werden können und beim (...) tätig gewesen sei, vermag daran nichts zu ändern. Schliesslich war der Beschwerdeführer seit der Zuführung in den Militärdienst für das (...) tätig (SEM-Akte A19 F50 ff.). Es ist nicht nachvollziehbar, wozu man ihm im Jahr (...) plötzlich die Entlassung hätte bescheinigen sollen, um ihn dann trotzdem im Dienst zu behalten. Nach dem Gesagten ist davon auszugehen, dass der Beschwerdeführer zwar in Eritrea Militärdienst geleistet hat, nicht glaubhaft ist jedoch, dass er aus dem Militärdienst desertiert ist.</w:t>
      </w:r>
    </w:p>
    <w:p>
      <w:r>
        <w:rPr>
          <w:b/>
        </w:rPr>
        <w:t>E. 4.1.2</w:t>
      </w:r>
    </w:p>
    <w:p>
      <w:r>
        <w:t>Insgesamt ist es dem Beschwerdeführer nicht gelungen, eine im Zeitpunkt seiner Ausreise aus Eritrea bestehende oder drohende, asylrechtlich relevante Gefährdung nachzuweisen oder glaubhaft zu machen. Die angefochtene Verfügung der Vorinstanz verletzt insofern kein Bundesrecht. Die erhobene Rüge erweist sich als unbegründet.</w:t>
      </w:r>
    </w:p>
    <w:p>
      <w:r>
        <w:rPr>
          <w:b/>
        </w:rPr>
        <w:t>E. 4.2</w:t>
      </w:r>
    </w:p>
    <w:p>
      <w:r>
        <w:t>In Bezug auf die geltend gemachte illegale Ausreise aus Eritrea ist festzuhalten, dass das Bundesverwaltungsgericht seine bisherige Eritrea-Praxis aktualisiert hat. Im Referenzurteil D-7898/2015 vom 30. Januar 2017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4.6-5.1). 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Dienstverweigerung. Die Furcht vor einer zukünftigen flüchtlingsrechtlich relevanten Verfolgung wegen illegaler Ausreise erweist sich daher als unbegründet.</w:t>
      </w:r>
    </w:p>
    <w:p>
      <w:r>
        <w:rPr>
          <w:b/>
        </w:rPr>
        <w:t>E. 4.3</w:t>
      </w:r>
    </w:p>
    <w:p>
      <w:r>
        <w:t>Zur Rüge, das SEM habe eine unzulässige Praxisänderung vorgenommen, ist zu erwähnen, dass sich das Bundesverwaltungsgericht zwischenzeitlich auch mit dieser Frage auseinandergesetzt hat (vgl. Urteil des BVGer E-5464/2016 vom 21. März 2017 E. 5).</w:t>
      </w:r>
    </w:p>
    <w:p>
      <w:r>
        <w:rPr>
          <w:b/>
        </w:rPr>
        <w:t>E. 4.3.1</w:t>
      </w:r>
    </w:p>
    <w:p>
      <w:r>
        <w:t>Das Urteil BVGE 2010/54 behandelt die Frage der Zumutbarkeit des Vollzugs von Wegweisungen, während vorliegend die Anerkennung der Flüchtlingseigenschaft Gegenstand des Beschwerdeverfahrens bildet. Die hier interessierende langjährige Praxis des SEM basierte zudem nicht auf einem publizierten Grundsatzurteil der Beschwerdeinstanz. Schliesslich wurde die Praxisänderung dem Gericht und der Öffentlichkeit im Vorfeld kommuniziert. Ausserdem wurde sie dem Gericht in einer ausführlichen Vernehmlassung vorgelegt (vgl. ausführlich dazu das Urteil des BVGerE-71/2017 vom 28. April 2017 E. 7.3 ff.). Im Übrigen hat das Bundesverwaltungsgericht in seinem Referenzurteil D-7898/2015 vom 30. Januar 2017 die durch die Vorinstanz vorgenommene Praxisänderung als zulässig erachtet und damit implizit auch deren Vorgehen bestätigt.</w:t>
      </w:r>
    </w:p>
    <w:p>
      <w:r>
        <w:rPr>
          <w:b/>
        </w:rPr>
        <w:t>E. 4.3.2</w:t>
      </w:r>
    </w:p>
    <w:p>
      <w:r>
        <w:t>Zusammenfassend ist festzustellen, dass das Vorgehen des SEM im Zusammenhang mit der Praxisänderung vom Sommer 2016 nicht zu beanstanden ist.</w:t>
      </w:r>
    </w:p>
    <w:p>
      <w:r>
        <w:rPr>
          <w:b/>
        </w:rPr>
        <w:t>E. 5</w:t>
      </w:r>
    </w:p>
    <w:p>
      <w:r>
        <w:t>Wie die Vorinstanz kommt das Gericht deshalb zum Schluss, dass der Beschwerdeführer keine begründete Furcht vor ernsthaften Nachteilen im Sinne von Art. 3 AsylG geltend machen kann; entsprechend liegen auch keine subjektiven Nachfluchtgründe im Sinne von Art. 54 AsylG vor. Zur Vermeidung von Wiederholungen ist auf die zutreffenden vorinstanzlichen Ausführungen sowie das oben erwähnte Koordinationsurteil des Bundesverwaltungsgerichts zu verweisen (vgl. oben, E. 4.2). Die Vorinstanz hat daher zu Recht die Flüchtlingseigenschaft des Beschwerdeführers verneint und sein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7.3.3</w:t>
      </w:r>
    </w:p>
    <w:p>
      <w:r>
        <w:t>Somit ist die Zulässigkeit des Vollzuges nach den allgemeinen verfassungs- und völkerrechtlichen Bestimmungen (Art. 25 Abs. 3 BV; Art. 3 des Übereinkommens vom 10. Dezember 1984 gegen Folter und andere grausame, unmenschliche oder erniedrigende Behandlung oder Strafe [FoK, SR 0.105]; Art. 3 EMRK) zu beurteilen.</w:t>
      </w:r>
    </w:p>
    <w:p>
      <w:r>
        <w:rPr>
          <w:b/>
        </w:rPr>
        <w:t>E. 7.3.4</w:t>
      </w:r>
    </w:p>
    <w:p>
      <w:r>
        <w:t>Im Urteil des BVGer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kam es zum Schluss, dass Personen, die erst nach Erfüllung ihrer Dienstpflicht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7.3.5</w:t>
      </w:r>
    </w:p>
    <w:p>
      <w:r>
        <w:t>Der Beschwerdeführer war zum Zeitpunkt seiner Ausreise aus Eritrea (...) Jahre alt. Gemäss seinen Aussagen war er seit 1998 bis zu seiner angeblichen Flucht im Jahr (...) im Nationaldienst. Dass er aus dem Dienst desertiert ist, erscheint, wie vorgängig ausgeführt, nicht glaubhaft. Vielmehr ist davon auszugehen, dass er am 1. Januar (...) regulär aus dem Dienst entlassen wurde. Im Übrigen hält er sich seit mehr als drei Jahren im Ausland auf und würde, sofern er seine Situation mit Eritrea regelt, die Voraussetzungen für den Erhalt des "Diaspora-Status" erfüllen. Es ist somit nicht damit zu rechnen, dass der Beschwerdeführer bei einer Rückkehr nach Eritrea wegen Missachtung seiner Dienstpflicht inhaftiert oder wieder in den Nationaldienst eingezogen würde, da er diesen schon geleistet hat. Auch andere Gründe für eine drohende Haftstrafe sind nicht zu erkennen und wurden nicht geltend gemacht.</w:t>
      </w:r>
    </w:p>
    <w:p>
      <w:r>
        <w:rPr>
          <w:b/>
        </w:rPr>
        <w:t>E. 7.3.6</w:t>
      </w:r>
    </w:p>
    <w:p>
      <w:r>
        <w:t>Gemäss Praxis des Europäischen Gerichtshofs für Menschenrechte (EGMR) müsste der Beschwerdeführer eine konkrete Gefahr ("real risk") nachweisen oder glaubhaft machen, dass ihm im Fall einer Rückschiebung Folter oder unmenschliche Behandlung drohen würde. Entgegen der Ansicht des Beschwerdeführers, ist nicht ersichtlich, dass er für den Fall einer Ausschaffung in den Heimatstaat dort mit beachtlicher Wahrscheinlichkeit einer nach Art. 3 EMRK oder Art. 1 FoK verbotenen Strafe oder Behandlung ausgesetzt wäre. Der Vollzug der Wegweisung erweist sich folglich sowohl im Sinne der asyl- als auch der völkerrechtlichen Bestimmungen als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Zur Frage der Zumutbarkeit des Wegweisungsvollzugs nach Eritrea hat das Bundesverwaltungsgericht kürzlich eine aktualisierte Lageanalyse vorgenommen (Referenzurteil D-2311/2016 vom 17. August 2017 E. 16 f.). Zusammenfassend gelangte das Gericht dabei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7.4.3</w:t>
      </w:r>
    </w:p>
    <w:p>
      <w:r>
        <w:t>Wie die Vorinstanz kommt das Gericht zum Schluss, dass sich aus den Akten keine individuellen Gründe ergeben, die auf eine konkrete Gefährdung des Beschwerdeführers im Falle einer Rückkehr schliessen lassen würden. Der (...)-jährige - bis auf die nicht näher ausgeführten oder belegten (...) - gesunde Mann hat bis zur neunten Klasse die Schule besucht und verfügt über Kenntnisse und jahrelange Arbeitserfahrung im (...). Er hat gemäss eigenen Aussagen in seinem Heimatstaat lebende Familienangehörige (Ehefrau, Schwiegereltern, Bruder mit Familie). Es kann demnach davon ausgegangen werden, dass er über ein tragfähiges soziales Netz verfügt, auf dessen Unterstützung er zählen kann und es ihm dadurch möglich sein wird, sich in Eritrea wieder zu integrieren. Somit bestehen keine Anhaltspunkte dafür, dass er bei einer Rückkehr in eine existenzielle Notlage geraten würde.</w:t>
      </w:r>
    </w:p>
    <w:p>
      <w:r>
        <w:rPr>
          <w:b/>
        </w:rPr>
        <w:t>E. 7.4.4</w:t>
      </w:r>
    </w:p>
    <w:p>
      <w:r>
        <w:t>Nach dem Gesagten erweist sich der Vollzug der Wegweisung auch als zumutbar.</w:t>
      </w:r>
    </w:p>
    <w:p>
      <w:r>
        <w:rPr>
          <w:b/>
        </w:rPr>
        <w:t>E. 7.5.1</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der Feststellung der Unmöglichkeit des Wegweisungsvollzugs praxisgemäss entgegensteht (vgl. dazu etwa EMARK 2002 Nr. 17 E. 6.b S. 140 f. m.w.H.).</w:t>
      </w:r>
    </w:p>
    <w:p>
      <w:r>
        <w:rPr>
          <w:b/>
        </w:rPr>
        <w:t>E. 7.5.2</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indessen mit Zwischenverfügung vom 22. September 2016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w:t>
      </w:r>
    </w:p>
    <w:p>
      <w:r>
        <w:t>Mit der Zwischenverfügung vom 22. September 2016 wurde auch das Gesuch um amtliche Verbeiständung gutgeheissen (Art. 110a Abs. 1 VwVG) und seine Rechtsvertreterin als Rechtsbeiständin beigeordnet. Demnach ist dieser ein amtliches Honorar für die notwendigen Aufwendungen im Beschwerdeverfahren auszurichten. Der in der Beschwerde und Replik ausgewiesene zeitliche Vertretungsaufwand von insgesamt 8 Stunden zuzüglich Auslagenersatzpauschale von Fr. 54.- erscheint angemessen. Allerdings geht das Bundesverwaltungsgericht, wie in der Zwischenverfügung vom 22. September 2016 angekündigt, bei nichtanwaltlicher Vertretung praxisgemäss von einem Stundenansatz von maximal Fr. 150.- aus. Demzufolge ist der amtlichen Rechtsbeiständin ein Gesamtbetrag von Fr. 1354.-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