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E-5755/2015 vom 23. September 2015</w:t>
      </w:r>
    </w:p>
    <w:p>
      <w:r>
        <w:t>Bundesverwaltungsgericht, 2015-09-23, DE</w:t>
      </w:r>
    </w:p>
    <w:p>
      <w:r>
        <w:rPr>
          <w:b/>
        </w:rPr>
        <w:t xml:space="preserve">Quelle: </w:t>
      </w:r>
      <w:r>
        <w:t>https://mcp.opencaselaw.ch/entscheid/bvger_E-5755_2015</w:t>
      </w:r>
    </w:p>
    <w:p>
      <w:r>
        <w:t>FR: TAF E-5755/2015 du 23 septembre 2015</w:t>
      </w:r>
    </w:p>
    <w:p>
      <w:r>
        <w:t>IT: TAF E-5755/2015 del 23 settembre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zum Schluss, dass die Vorbringen des Beschwerdeführers weder den Anforderungen an das Glaubhaftmachen gemäss Art. 7 AsylG noch denjenigen an die Flüchtlingseigenschaft von Art. 3 AsylG standhielten. So sei der Beschwerdeführer auf bestimmte, wiederholt gestellte Fragen nicht eingegangen. Sodann sei im eingereichten Schreiben der Partei die Verfolgung nicht erwähnt, was jedoch zu erwarten wäre, hätte diese tatsächlich stattgefunden. Überdies sei davon auszugehen, dass er unter den geltend gemachten Umständen seinen Vorgesetzen gefragt hätte, ob andere Mitglieder auch Opfer seien. Infolge der Nichtanzeige habe im Übrigen der Heimatstaat seine Schutzpflicht nicht ausüben können. Zu den Kündigungen seiner Arbeitsstellen habe er ausgesagt, diese seien nicht gravierend, weil er schnell wieder Arbeit fände.</w:t>
      </w:r>
    </w:p>
    <w:p>
      <w:r>
        <w:rPr>
          <w:b/>
        </w:rPr>
        <w:t>E. 4.2</w:t>
      </w:r>
    </w:p>
    <w:p>
      <w:r>
        <w:t>Der Beschwerdeführer wendet dagegen ein, er sei nach dem Anschlag zur Polizei gegangen, die jedoch nicht geholfen und keine Anzeige entgegengenommen habe. Das zeige, dass diese nicht gewillt gewesen sei, ihm zu helfen. Sie sei im selben Boot, wie die sozialistische Partei. Es gebe immer wieder Ermordungen von Mitgliedern der demokratischen und der kommunistischen Partei.</w:t>
      </w:r>
    </w:p>
    <w:p>
      <w:r>
        <w:rPr>
          <w:b/>
        </w:rPr>
        <w:t>E. 4.3</w:t>
      </w:r>
    </w:p>
    <w:p>
      <w:r>
        <w:t>Die Vorinstanz hat den Massstab des Glaubhaftmachens indes nicht verkannt und auf den vorliegenden Fall korrekt angewendet. In der angefochtenen Verfügung wird ausreichend begründet, welche der Vorbringen unglaubhaft und welche nicht von Asylrelevanz sind. Der Beschwerdeführer vermag nicht aufzuzeigen, inwiefern die angefochtene Verfügung Bundesrecht verletzt oder zu einer rechtsfehlerhaften Sachverhaltsfeststellung führen soll. Solches ist auch nicht ersichtlich. Die Behauptung auf Beschwerdeebene - er sei zur Polizei gegangen, um Anzeige zu erstatten - untermauert die Unglaubwürdigkeit des Beschwerdeführers. So hat er dies bereits in beiden Befragungen explizit und mit Nachdruck verneint (SEM-Akten, A 4 S. 8 und A 7 S. 7 und S. 10). Im Herkunftsstaat des Beschwerdeführers besteht grundsätzlich Sicherheit vor Verfolgung (Art. 6a Abs. 2 Bst. a AsylG). Im Übrigen basieren seine Vorbringen auf seinem angeblichen politischen Engagement, insbesondere für die Wahlen im Jahr 2015. In Anbetracht seiner Antworten fällt diese Grundlage weg. Er kann nicht im vorgetragenen Sinne politisch aktiv gewesen sein, wenn er nicht einmal den Ausgang der Wahlen kennt, für die er sich eingesetzt und für die er sein Leben riskiert haben will (insb. SEM-Akten, A 7 S. 6 f.). Folglich kann seiner Behauptung auf Beschwerdeebene nicht gefolgt werden und es bestätigt sich die Schlussfolgerung der Vorinstanz. Um Wiederholungen zu vermeiden kann auf die Ausführungen der Vorinstanz verwiesen werden, welche zu Recht die Flüchtlingseigenschaft verneint und das Asylgesuch ablehnt.</w:t>
      </w:r>
    </w:p>
    <w:p>
      <w:r>
        <w:rPr>
          <w:b/>
        </w:rPr>
        <w:t>E. 5.1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5.2</w:t>
      </w:r>
    </w:p>
    <w:p>
      <w:r>
        <w:t>Es sind den Akten und der Rechtsmitteleingabe keine Anhaltspunkte zu entnehmen, die einen anderen Schluss in Bezug auf die verfügte Wegweisung zuliessen. Es ist auch hier auf die Ausführungen der Vor­instanz zu verweisen, die folgerichtig zum Schluss kommt, dass der Vollzug der Wegweisung im vorliegenden Fall zulässig, zumutbar und möglich ist. Die Anordnung einer vorläufigen Aufnahme fällt hiermit ausser Betracht (Art. 83 Abs. 1 AuG). Es obliegt dem Beschwerdeführer, sich bei der zuständigen Vertretung die allenfalls für eine Rückkehr notwendigen Reisedokumente zu beschaffen (vgl. Art. 8 Abs. 4 AsylG; BVGE 2008/34 E. 12).</w:t>
      </w:r>
    </w:p>
    <w:p>
      <w:r>
        <w:rPr>
          <w:b/>
        </w:rPr>
        <w:t>E. 6</w:t>
      </w:r>
    </w:p>
    <w:p>
      <w:r>
        <w:t>Aus diesen Erwägungen ergibt sich, dass die angefochtene Verfügung Bundesrecht nicht verletzt und auch sonst nicht zu beanstanden ist (Art. 106 AsylG und Art. 49 VwVG). Die Beschwerde ist abzuweisen. Damit sind der Antrag betreffend Datenweitergabe und Wiederherstellung der aufschiebenden Wirkung gegenstandslos geworden. Was den Antrag auf Erlass einer separaten Verfügung bei bereits erfolgter Datenweitergabe anbelangt, ist festzustellen, dass den Akten keine entsprechenden Hinweise zu entnehmen sind.</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