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E-574/2015 vom 4. Februar 2015</w:t>
      </w:r>
    </w:p>
    <w:p>
      <w:r>
        <w:t>Bundesverwaltungsgericht, 2015-02-04, DE</w:t>
      </w:r>
    </w:p>
    <w:p>
      <w:r>
        <w:rPr>
          <w:b/>
        </w:rPr>
        <w:t xml:space="preserve">Quelle: </w:t>
      </w:r>
      <w:r>
        <w:t>https://mcp.opencaselaw.ch/entscheid/bvger_E-574_2015</w:t>
      </w:r>
    </w:p>
    <w:p>
      <w:r>
        <w:t>FR: TAF E-574/2015 du 4 février 2015</w:t>
      </w:r>
    </w:p>
    <w:p>
      <w:r>
        <w:t>IT: TAF E-574/2015 del 4 febbraio 2015</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 zur Beschwerdeführung legitimiert (Art. 48 VwVG). Dem Beschwerdeführer wurde die angefochtene Verfügung am 21. Januar 2015 eröffnet. Die Beschwerde ist somit fristgerecht (Art. 108 Abs. 2 AsylG); sie ist auch formgerecht (Art. 52 Abs. 1 VwVG). Auf die Beschwerde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Vorinstanz führt in der angefochtenen Verfügung aus, der Abgleich mit der Zentraleinheit Eurodac ergebe, dass der Beschwerdeführer am 18. Juni 2013 in Italien ein Asylgesuch eingereicht habe. Am 16. Januar 2015 hätten die italienischen Behörden das Ersuchen des SEM um Übernahme, gestützt auf Art. 18 Abs. 1 Bst. b Dublin-III-VO, gutgeheissen. Die Überstellung nach Italien habe bis spätestens am 16. Juli 2015 zu erfolgen. Es sprächen weder die in Italien herrschende Situation noch andere Gründe gegen die Zumutbarkeit der Wegweisung nach Italien. Anlässlich des rechtlichen Gehörs und der Stellungnahme habe der Beschwerdeführer geltend gemacht, in Italien bereits auf der Strasse gelebt und dort kein Essen erhalten zu haben. Er könne sich hingegen an die zuständigen Behörden wenden oder bei einer der zahlreichen karitativeren Einrichtungen in Italien um Hilfe ersuchen. Es gebe keine begründeten Anhaltspunkte dafür, dass er in Italien in eine existentielle Notlage geraten könne. Des Weiteren würden die von ihm geltend gemachten und nicht belegten, medizinischen Probleme keine Unzumutbarkeit des Vollzugs der Wegweisung begründen.</w:t>
      </w:r>
    </w:p>
    <w:p>
      <w:r>
        <w:rPr>
          <w:b/>
        </w:rPr>
        <w:t>E. 3.3</w:t>
      </w:r>
    </w:p>
    <w:p>
      <w:r>
        <w:t>Was der Beschwerdeführer gegen die grundsätzliche Zuständigkeit Italiens einwendet, geht fehl. In der angefochtenen Verfügung werden ausführlich die individuellen Vorbringen, die gegen Italien sprechen könnten, gewürdigt. Um Wiederholungen zu vermeiden, kann vollumfänglich auf die Ausführungen in der Verfügung der Vorinstanz verwiesen werden. Die Rechtsmitteleingabe befasst sich mit dem Urteil vom 4. November 2014 in Sachen Tarakhel gegen die Schweiz (Beschwerde Nr. 29217/12) des Europäischen Gerichtshofes (EGMR) und verkennt hierbei, dass es sich in der Person des Beschwerdeführers weder um eine Familie mit minderjährigen Kindern, noch um eine andere besonders verletzliche Personengruppe handelt. Im Gegenteil, es handelt sich um einen jungen, alleinstehenden Mann in bestem arbeitsfähigem Alter. Weder Art. 3 EMRK noch das Urteil Tarakhel lassen einen im Sinne der Beschwerdeschrift geltend gemachten Umkehrschluss zu. Was die vorgebrachten gesundheitlichen Probleme anbelangt (ausgeprägte Trockenheit der Füsse), so nimmt die Vorinstanz zutreffend an, dass diese - sofern vorhanden - in Italien behandelt werden können und dass es dem Beschwerdeführer offen steht, sich in Italien an die zuständigen Behörden oder an eine der vielen karitativen Einrichtungen zu wenden. Der Argumentation des Beschwerdeführers ist damit auch die Grundlage entzogen, was Art. 3 EMRK (Folterverbot) und Art. 17 Dublin-III-VO (Selbsteintrittsrecht) anbelangt.</w:t>
      </w:r>
    </w:p>
    <w:p>
      <w:r>
        <w:rPr>
          <w:b/>
        </w:rPr>
        <w:t>E. 4</w:t>
      </w:r>
    </w:p>
    <w:p>
      <w:r>
        <w:t>Nach dem Gesagten ergibt sich, dass die angefochtene Verfügung Bundesrecht nicht verletzt und auch sonst nicht zu beanstanden ist (Art. 106 AsylG). Die Beschwerde ist abzuweisen.</w:t>
      </w:r>
    </w:p>
    <w:p>
      <w:r>
        <w:rPr>
          <w:b/>
        </w:rPr>
        <w:t>E. 5</w:t>
      </w:r>
    </w:p>
    <w:p>
      <w:r>
        <w:t>Bei diesem Ausgang des Verfahrens sind die Kosten dem Beschwerdeführer aufzuerlegen (Art. 63 Abs. 1 VwVG) und auf insgesamt Fr. 600.- festzusetzen (Art. 1-3 des Reglements vom 21. Februar 2008 über die Kosten und Entschädigungen vor dem Bundesverwaltungsgericht [VGKE]). Das Gesuch um unentgeltliche Prozessführung ist abzuweisen, da die Begehren des angeblich bedürftigen Beschwerdeführers gemäss vorstehenden Erwägungen aussichtslos sind und die kumulativen Voraussetzungen von Art. 65 Abs. 1 VwVG daher nicht erfüllt sind. Die prozessualen Anträge betreffend Verzicht auf Erhebung eines Kostenvorschusses sind mit dem vorliegenden Beschwerdeurteil gegenstandslos geworden, so auch das Gesuch um aufschiebende Wirkung.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