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E-5737/2023 vom 27. Oktober 2023</w:t>
      </w:r>
    </w:p>
    <w:p>
      <w:r>
        <w:t>Bundesverwaltungsgericht, 2023-10-27, FR</w:t>
      </w:r>
    </w:p>
    <w:p>
      <w:r>
        <w:rPr>
          <w:b/>
        </w:rPr>
        <w:t xml:space="preserve">Quelle: </w:t>
      </w:r>
      <w:r>
        <w:t>https://mcp.opencaselaw.ch/entscheid/bvger_E-5737_2023</w:t>
      </w:r>
    </w:p>
    <w:p>
      <w:r>
        <w:t>FR: TAF E-5737/2023 du 27 octobre 2023</w:t>
      </w:r>
    </w:p>
    <w:p>
      <w:r>
        <w:t>IT: TAF E-5737/2023 del 27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L'intéressé fait préliminairement valoir que le SEM aurait violé la maxime inquisitoire et son obligation de motiver ainsi que, plus largement, son droit d'être entendu.</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2.4</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L'intéressé reproche, d'une part, au SEM d'avoir insuffisamment instruit la question de son état de santé psychique et de son statut de victime de torture. Compte tenu de sa vulnérabilité particulière et des doutes existant quant aux possibilités d'une prise en charge adaptée en Croatie, l'autorité intimée aurait dû ordonner son évaluation psychiatrique et ne pas se contenter de l'unique rapport médical versé au dossier. La prise en charge de l'intéressé aurait en outre été, selon lui, entravée par la surcharge actuelle des infirmeries des centres d'accueil et son transfert d'un centre d'accueil à l'autre. Sa réévaluation, qui aurait dû avoir lieu entre le 11 et le 15 septembre, n'aurait ainsi pas pu avoir lieu en raison de son transfert. Ce serait ainsi à tort que l'autorité intimée a retenu, dans la décision querellée, qu'un suivi avait été organisé. De plus, le SEM aurait dû investiguer davantage le passé traumatique de l'intéressé en lien avec les tortures que ce dernier aurait subies en Turquie.</w:t>
      </w:r>
    </w:p>
    <w:p>
      <w:r>
        <w:rPr>
          <w:b/>
        </w:rPr>
        <w:t>E. 2.6</w:t>
      </w:r>
    </w:p>
    <w:p>
      <w:r>
        <w:t>En l'occurrence, au moment où l'autorité intimée a statué, elle disposait des déclarations de l'intéressé relatives à son état de santé, notamment psychique, ainsi que de documents médicaux, soit en particulier le rapport médical du 5 septembre 2023 précité (cf. supra, let. C et D). Un diagnostic avait été posé et un traitement prescrit. Nanti de ces informations, le SEM a notamment retenu que l'état de santé de l'intéressé n'était pas si grave ou particulier, notamment quant aux traitements nécessaires, qu'il puisse s'opposer à un retour en Croatie, où il aurait accès à des soins adéquats. Il a souligné que les éventuelles difficultés pour accéder à ces soins, notamment liées à des problèmes de compréhension, ne remettaient pas en cause ses conclusions. Force est ainsi d'admettre que le SEM a pris en compte les éléments médicaux figurant alors au dossier, lesquels ne laissaient apparaître, selon lui, aucun indice de troubles susceptibles de faire obstacle au transfert de l'intéressé. On ne saurait reprocher à l'autorité intimée d'avoir statué sur la base d'un état de fait inexact en retenant qu'un suivi avait été organisé, dès lors que, comme déjà dit, il ressort du rapport médical du 6 septembre 2023 précité qu'une réévaluation du recourant devait être effectuée la semaine suivante. A cet égard, le fait que cette réévaluation a pu être retardée par le transfert de l'intéressé dans un autre centre d'accueil ne signifie pas encore que son suivi a été interrompu. On ne saurait par ailleurs faire grief au SEM de ne pas avoir instruit davantage le passé de l'intéressé en Turquie et les préjudices qu'il y aurait subis, ces questions n'apparaissant pas pertinentes dans le cadre de la présente procédure. Rien n'indique donc que l'autorité intimée ait violé son devoir d'instruction d'office. L'intéressé fait pour le surplus valoir des arguments de fond, qui seront examinés plus loin.</w:t>
      </w:r>
    </w:p>
    <w:p>
      <w:r>
        <w:rPr>
          <w:b/>
        </w:rPr>
        <w:t>E. 2.7</w:t>
      </w:r>
    </w:p>
    <w:p>
      <w:r>
        <w:t>Le recourant reproche, d'autre part, au SEM d'avoir insuffisamment motivé la décision querellée s'agissant des graves carences qui affecteraient, selon lui, le système d'accueil et de prise en charge, notamment médicale, des requérants d'asile en Croatie. Il fait notamment grief au SEM d'avoir retenu que la Croatie est dotée d'une infrastructure médicale suffisante alors que les opérations sur place de l'ONG Médecins du Monde (MdM) avaient pris fin en mai 2023, après le non-renouvellement par les autorités croates de l'appel d'offre correspondant, et n'avaient repris temporairement que grâce à un financement du SEM.</w:t>
      </w:r>
    </w:p>
    <w:p>
      <w:r>
        <w:rPr>
          <w:b/>
        </w:rPr>
        <w:t>E. 2.8</w:t>
      </w:r>
    </w:p>
    <w:p>
      <w:r>
        <w:t>En l'espèce, comme déjà dit, le SEM a notamment retenu que la Croatie est dotée d'une infrastructure médicale satisfaisante et est tenue, en vertu de ses obligations internationales, d'accorder aux requérants d'asile les soins nécessaires comprenant au minimum, les soins urgents et le traitement essentiel des maladies et troubles mentaux graves. L'autorité intimée a encore relevé que les coûts des prestations médicales fournies aux requérants d'asile en Croatie sont pris en charge par l'Etat croate et que tous les requérants y ont droit à des soins médicaux et psychosociaux ainsi qu'à une assistance et un soutien psychosocial dans des établissements de santé appropriés. Elle a ajouté que MdM avait pu reprendre ses activités en Croatie et que le ministère de l'Intérieur croate mandate des ONG pour fournir des soins médicaux aux requérants d'asile, ce qui laissait supposer que l'offre de traitement psychologique dans ce pays est suffisante. Force est de constater que le recourant a manifestement compris cette motivation et, au vu de l'argumentation développée dans son mémoire, a pu exercer son droit de recours à bon escient. La motivation de la décision querellée apparaît ainsi suffisante. L'intéressé entend en réalité contester le bien-fondé de la décision du SEM sur ce point et fait valoir des arguments de fond, qui seront examinés plus loin.</w:t>
      </w:r>
    </w:p>
    <w:p>
      <w:r>
        <w:rPr>
          <w:b/>
        </w:rPr>
        <w:t>E. 2.9</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19 août 2023. Ses déclarations selon lesquelles il aurait fait l'objet de contrainte de la part de la police croate ne sont pas étayées (cf. à ce sujet consid. 7.3 ci-dessous).</w:t>
      </w:r>
    </w:p>
    <w:p>
      <w:r>
        <w:rPr>
          <w:b/>
        </w:rPr>
        <w:t>E. 5.2</w:t>
      </w:r>
    </w:p>
    <w:p>
      <w:r>
        <w:t>En date du 5 septembre 2023, l'autorité intimée a dès lors soumis aux autorités croates compétentes, dans les délais fixés à l'art. 23 par. 2 du règlement Dublin III, une requête aux fins de reprise en charge, fondée sur l'art. 18 par. 1 let. b du règlement Dublin III.</w:t>
      </w:r>
    </w:p>
    <w:p>
      <w:r>
        <w:rPr>
          <w:b/>
        </w:rPr>
        <w:t>E. 5.3</w:t>
      </w:r>
    </w:p>
    <w:p>
      <w:r>
        <w:t>Les autorités croates ont expressément accepté de reprendre en charge le recourant en date du 19 septembre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6.3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6.4</w:t>
      </w:r>
    </w:p>
    <w:p>
      <w:r>
        <w:t>Par conséquent, l'application de l'art. 3 par. 2 du règlement Dublin III ne se justifie pas en l'espèce.</w:t>
      </w:r>
    </w:p>
    <w:p>
      <w:r>
        <w:rPr>
          <w:b/>
        </w:rPr>
        <w:t>E. 7.1</w:t>
      </w:r>
    </w:p>
    <w:p>
      <w:r>
        <w:t>Pour s'opposer à son transfert vers la Croatie, l'intéressé, comme déjà dit, soutient notamment avoir été malmené par la police croate. En outre, atteint dans sa santé psychique, il devrait être considéré comme vulnérable en cas de transfert, alors que la Croatie ne garantit selon lui pas son droit de réadaptation, en l'absence d'une possibilité de prise en charge adéquate. A cet égard, il invoque une violation de l'art. 17 par. 1 du règlement Dublin III en lien avec les art. 3 et 13 CEDH, 3 et 14 CCT, ainsi que 29a al. 3 OA 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Les mauvais traitements dont l'intéressé aurait été victime en Croatie ne reposent que sur ses propres déclarations. Rien n'indique en particulier que la police croate lui aurait imposé des mesures de contrainte autres que celles nécessitées par son interpellation. De plus, quand bien même le recourant aurait été traité avec hostilité par des membres de la police croate, de tels comportements ne sauraient refléter l'attitude des autorités croates dans leur ensemble. Au demeurant, les allégations du recourant à cet égard ne sont quoi qu'il en soit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7.4.1</w:t>
      </w:r>
    </w:p>
    <w:p>
      <w:r>
        <w:t>Compte tenu de la jurisprudence restrictive en la matière, encore récemment rappelée par le Tribunal (cf. not. arrêt D-3385/2023 du 28 juillet 2023 considérant 7.3.2), il y a lieu de considérer que les problèmes de santé évoqués par le recourant ne sont pas d'une gravité telle qu'il se justifierait de renoncer à son transfert vers la Croatie (cf., à ce sujet, arrêts Paposhvili c. Belgique [GC] du 13 décembre 2016, requête no 41738/10 ; Savran c. Danemark [GC] du 7 décembre 2021, requête no 57467/15).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arrêts du TAF D-1418/2022 du 4 avril 2022 consid. 5.3.6 et D-1241/2022 du 25 mars 2022 p. 7). En l'absence d'indice de trouble grave impliquant un danger imminent, le Tribunal considère dès lors qu'il n'est pas nécessaire d'ordonner une évaluation psychiatrique approfondie de l'intéressé, respectivement d'attendre le résultat d'éventuels examens médicaux complémentaires. Sur ce point il faut rappeler, à l'instar du SEM,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le document manuscrit joint au recours, l'intéressé affirme avoir « pensé une dizaine de fois au suicide » dans sa vie, mais y avoir « souvent renoncé au dernier moment ». Comme relevé, il ne présentait pas (ou plus) de telles idées selon le rapport médical du 6 septembre 2023 précité. On relèvera en outre que si tel avait été le cas ultérieurement, l'intéressé aurait pu demander de l'aide, par exemple en consultant un service d'urgence, ce qu'il n'a apparemment pas fait. Rien n'indique dès lors qu'il présente à ce jour des idéations suicidaires. Dans ces conditions, à tout le moins, toute mise en danger immédiate paraît pouvoir être écartée. Rien ne suggère non plus que les tendances évoquées par le recourant à un instant donné, ainsi que ses troubles psychiques actuels, aient été, respectivement soient en lien avec des événements survenus en Croatie. Comme relevé, sa détresse psychologique serait en effet liée à des violences qu'il aurait subies en Turquie. Il n'y a dès lors pas lieu de retenir que pour ce motif, un retour en Croatie, ou la perspective d'un tel retour, serait en soi de nature à provoquer une recrudescence d'idéations suicidaires chez l'intéressé. Ses déclarations consistant à assimiler les autorités croates aux autorités turques doivent être relativisées. Il n'est pas question de minimiser, à les admettre, les épreuves que le recourant a pu vivre dans son pays. De son document précité, il ressort toutefois que son emprisonnement en Turquie remonterait à plus de 20 ans. Son service militaire, qu'il a également décrit comme étant très pénible, remonte certainement aussi à de nombreuses années. Il se réfère pour le reste à l'insécurité dans son pays, sans alléguer avoir personnellement subi d'atteintes majeures durant les années précédant son départ ni avoir eu besoin de traitements médicaux d'importance. Il convient encore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La sévérité de sa maladie mentale n'est pas établie. En outre, il n'est pas connu pour des antécédents que ce soit de trouble mental, de tentative de suicide ou d'acte d'auto-agression, ni n'a dû être hospitalisé dans un service psychiatrique depuis son entrée en Suisse. Si avant son transfert, le recourant devait, devant l'imminence de celui-ci voir son état de santé se dégrader, il appartiendrait au SEM à tout le moins de s'assurer qu'il soit pris en charge médicalement à son arrivée en Croatie pour parer à un éventuel risque de suicide. A cet égard, il sied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Le SEM transmettra aux autorités croates les informations relatives à ses besoins en matière de soins de santé comme prévu par les art. 31 et 32 RD III. Il veillera dans ce cadre à respecter le délai que lui a signifié l'Unité Dublin croate pour la transmission de données avant l'exécution du transfert. A noter que le SEM n'est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au recourant, est présumé produire l'effet escompté. En définitive, les autorités en charge de l'exécution du transfert sont tenues de bien l'organiser. Il appartiendra également, le cas échéant, aux thérapeutes du recourant de le préparer à la perspective de son transfert.</w:t>
      </w:r>
    </w:p>
    <w:p>
      <w:r>
        <w:rPr>
          <w:b/>
        </w:rPr>
        <w:t>E. 7.4.2</w:t>
      </w:r>
    </w:p>
    <w:p>
      <w:r>
        <w:t>Dès lors, en application d'une jurisprudence constante, il y a lieu de retenir que l'état de santé du recourant ne saurait faire obstacle à l'exécution de son transfert vers la Croatie.</w:t>
      </w:r>
    </w:p>
    <w:p>
      <w:r>
        <w:rPr>
          <w:b/>
        </w:rPr>
        <w:t>E. 7.5</w:t>
      </w:r>
    </w:p>
    <w:p>
      <w:r>
        <w:t>Enfin, c'est en vain que le recourant invoque une violation de l'art. 14 CCT, disposition concernant le droit des victimes d'actes de torture à obtenir réparation, laquelle ne trouve pas à s'appliquer en l'espèce (cf. arrêts du Tribunal E-558/2023 du 6 juin 2023 consid. 7.7 ; E-265/2023 du 18 avril 2023 consid. 8.5 ; E-1695/2023 du 13 avril 2023 consid. 7.3).</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cause et, quoi qu'en dise l'intéressé, n'a commis ni excès ni abus de son pouvoir d'appréciation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 Dans ce contexte, le souhait de l'intéressé de rester en Suisse n'est pas déterminant.</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Les demandes d'effet suspensif et de dispense d'une avance des frais de procédure deviennent sans objet. Les mesures superprovisionnelles ordonnées le 20 octobre 2023 deviennent caduques.</w:t>
      </w:r>
    </w:p>
    <w:p>
      <w:r>
        <w:rPr>
          <w:b/>
        </w:rPr>
        <w:t>E. 10</w:t>
      </w:r>
    </w:p>
    <w:p>
      <w:r>
        <w:t>Au vu de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Les conclusions du recours n'étant pas d'emblée vouées à l'échec et le recourant étant indigent, les conditions cumulatives posées par l'art. 65 al. 1 PA sont toutefois réunies et la demande d'assistance judiciaire partielle est admise. Il est par conséquent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