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E-5732/2016 vom 3. Oktober 2016</w:t>
      </w:r>
    </w:p>
    <w:p>
      <w:r>
        <w:t>Bundesverwaltungsgericht, 2016-10-03, DE</w:t>
      </w:r>
    </w:p>
    <w:p>
      <w:r>
        <w:rPr>
          <w:b/>
        </w:rPr>
        <w:t xml:space="preserve">Quelle: </w:t>
      </w:r>
      <w:r>
        <w:t>https://mcp.opencaselaw.ch/entscheid/bvger_E-5732_2016</w:t>
      </w:r>
    </w:p>
    <w:p>
      <w:r>
        <w:t>FR: TAF E-5732/2016 du 3 octobre 2016</w:t>
      </w:r>
    </w:p>
    <w:p>
      <w:r>
        <w:t>IT: TAF E-5732/2016 del 3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5.1</w:t>
      </w:r>
    </w:p>
    <w:p>
      <w:r>
        <w:t>Die Vorinstanz lehnte das Asylgesuch ab, da die Vorbringen der Beschwerdeführenden den Anforderungen an die Flüchtlingseigenschaft gemäss Art. 3 AsylG nicht standhalten würden. Der Begriff der Flüchtlingseigenschaft setze einen in zeitlicher und sachlicher Hinsicht genügend engen Kausalzusammenhang zwischen Verfolgung und Flucht voraus. Der Beschwerdeführer habe angegeben, nach seiner Haft noch etwa ein Jahr in Syrien geblieben zu sein, keine Probleme mit den syrischen Behörden gehabt und sein Heimatland erst verlassen zu haben, als die Situation schlimmer geworden sei. Damit sei kein Zusammenhang zwischen der Haft und seiner Ausreise ersichtlich. Sodann würden die im Rahmen von Krieg oder Situationen allgemeiner Gewalt erlittenen Nachteile keine Verfolgung im Sinne des Asylgesetzes darstellen, soweit sie nicht auf der Absicht beruhten, einen Menschen aus einem der in Art. 3 AsylG erwähnten Gründe zu treffen. Die Beschwerdeführenden hätten angegeben, nie Probleme mit den syrischen Behörden oder irgendwelchen Gruppierungen gehabt und Syrien wegen des Krieges verlassen zu haben. Damit hätten sie keine Verfolgung im Sinne von Art. 3 AsylG geltend gemacht. Ferner seien Befürchtungen, künftig staatlichen Verfolgungsmassnahmen ausgesetzt zu sein, nur dann asylrelevant, wenn begründeter Anlass zur Befürchtung bestehe, dass sich die Verfolgung mit beachtlicher Wahrscheinlichkeit und in absehbarer Zukunft verwirklichen werde. Der Beschwerdeführer habe zwar angegeben, er hätte sich in Syrien - wäre er dort geblieben - dem syrischen Regime oder einer Gruppierung anschliessen müssen. Da er jedoch keinerlei Probleme mit irgendwelchen Gruppierungen geltend gemacht, seinen Militärdienst regulär beendet und darüber hinaus, abgesehen von der Haft, keinen Kontakt zu den syrischen Behörden gehabt habe, sei nicht davon auszugehen, er habe Anlass zur Befürchtung, künftig staatlichen Verfolgungsmassnahmen ausgesetzt zu sein.</w:t>
      </w:r>
    </w:p>
    <w:p>
      <w:r>
        <w:rPr>
          <w:b/>
        </w:rPr>
        <w:t>E. 5.2</w:t>
      </w:r>
    </w:p>
    <w:p>
      <w:r>
        <w:t>Die Beschwerdeführenden machen in der Rechtsmitteleingabe vorab geltend, die Situation anlässlich der Erstbefragung sei für sie beide fremd gewesen. Sie seien durcheinander gewesen, was vom Befrager nicht bemerkt worden sei. Dazu ist festzustellen, dass die Erstbefragung für alle Asylsuchenden neu und insoweit ungewohnt ist. Sodann sind den Protokollen keine Hinweise zu entnehmen, wonach die Beschwerdeführenden durcheinander gewesen wären. Namentlich haben die Beschwerdeführenden durchwegs korrekt auf die ihnen unterbreiteten Fragen geantwortet. Wären sie sodann tatsächlich verwirrt gewesen, hätte der Befrager dies zuhanden der Akten festgehalten, was vorliegend nicht der Fall ist. Demnach können die Beschwerdeführenden aus diesem Umstand nichts zu ihren Gunsten ableiten und die Protokolle können dem vorliegenden Verfahren zugrunde gelegt werden.</w:t>
      </w:r>
    </w:p>
    <w:p>
      <w:r>
        <w:rPr>
          <w:b/>
        </w:rPr>
        <w:t>E. 5.3</w:t>
      </w:r>
    </w:p>
    <w:p>
      <w:r>
        <w:t>Die Beschwerdeführenden rügen weiter, die Vorinstanz habe sie zu Unrecht nicht als Flüchtlinge anerkannt und damit Bundesrecht verletzt. Der vorinstanzliche Schluss ist indes nicht zu beanstanden. In der angefochtenen Verfügung wird ausführlich dargelegt, weshalb die Beschwerdeführenden die Voraussetzungen zur Anerkennung als Flüchtlinge nicht erfüllen. Was in der Rechtsmitteleingabe dagegen vorgebracht wird, ist nicht geeignet, einen anderen Schluss zu ziehen. Mit der Vorinstanz ist nochmals festzuhalten, dass die Haft für den Beschwerdeführer offensichtlich nicht Anlass zum Verlassen des Heimatlandes war, ist er doch erst über ein Jahr nach seiner Haftentlassung ausgereist. Damit ist der erforderliche sachliche und zeitliche Kausalzusammenhang zwischen der Haft und der Ausreise nicht mehr gegeben. Im Übrigen hat der Beschwerdeführer während seines über halbjährigen Aufenthalts in G._______ nicht um Asyl nachgesucht. Soweit der Beschwerdeführer in der Rechtsmitteleingabe eine erneute Inhaftierung befürchtet, ist entgegen seiner Ansicht nicht davon auszugehen, dass er seinerzeit wegen der Teilnahme an zwei oder drei Demonstrationen, sondern vielmehr - wie ihm gegenüber kommuniziert - aufgrund einer Verwechslung in Haft genommen wurde. Vor diesem Hintergrund erscheint eine erneute Inhaftierung des Beschwerdeführers wenig wahrscheinlich. Weitergehend legen die Beschwerdeführenden mit dem blossen Wiederholen des aktenkundigen Sachverhalts nicht dar, inwiefern die Vorinstanz zu Unrecht das Vorliegen der Flüchtlingseigenschaft verneint hat. Solches ist auch nicht ersichtlich. Die Vorinstanz hat demnach das Asylgesuch der Beschwerdeführenden zu Recht abgelehnt.</w:t>
      </w:r>
    </w:p>
    <w:p>
      <w:r>
        <w:rPr>
          <w:b/>
        </w:rPr>
        <w:t>E. 6.1</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2013/37 E 4.4; BVGE 2009/50 E. 9). Die Wegweisung wurde zu Recht angeordnet.</w:t>
      </w:r>
    </w:p>
    <w:p>
      <w:r>
        <w:rPr>
          <w:b/>
        </w:rPr>
        <w:t>E. 6.2</w:t>
      </w:r>
    </w:p>
    <w:p>
      <w:r>
        <w:t>Der Vollzug der Wegweisung wurde zugunsten einer vorläufigen Aufnahme aufgeschoben, womit die Beschwerdeführenden über ein vorübergehendes Bleiberecht in der Schweiz verfügen. Da die Wegweisungsvollzugshindernisse alternativer Natur sind (vgl. BVGE 2009/51 E. 5.4), besteht kein schutzwürdiges Interesse an der Überprüfung, aus welchen Gründen die Vorinstanz den Vollzug aufgeschoben hat (Art. 48 Abs. 1 Bst. c VwVG).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