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E-5731/2015 vom 5. Oktober 2015</w:t>
      </w:r>
    </w:p>
    <w:p>
      <w:r>
        <w:t>Bundesverwaltungsgericht, 2015-10-05, FR</w:t>
      </w:r>
    </w:p>
    <w:p>
      <w:r>
        <w:rPr>
          <w:b/>
        </w:rPr>
        <w:t xml:space="preserve">Quelle: </w:t>
      </w:r>
      <w:r>
        <w:t>https://mcp.opencaselaw.ch/entscheid/bvger_E-5731_2015</w:t>
      </w:r>
    </w:p>
    <w:p>
      <w:r>
        <w:t>FR: TAF E-5731/2015 du 5 octobre 2015</w:t>
      </w:r>
    </w:p>
    <w:p>
      <w:r>
        <w:t>IT: TAF E-5731/2015 del 5 ottobre 2015</w:t>
      </w:r>
    </w:p>
    <w:p>
      <w:pPr>
        <w:pStyle w:val="Heading2"/>
      </w:pPr>
      <w:r>
        <w:t>Regeste</w:t>
      </w:r>
    </w:p>
    <w:p>
      <w:r>
        <w:t>Visa à validité territoriale limitée (VTL)</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1.3</w:t>
      </w:r>
    </w:p>
    <w:p>
      <w:r>
        <w:t>Les recourants ont pris part à la procédure d'opposition devant l'autorité inférieure, sont spécialement atteints par la décision attaquée et ont un intérêt digne de protection à son annulation ou à sa modification, conformément à l'art. 48 al. 1 PA ; ils ont donc qualité pour recourir. Le recours, présenté dans la forme (cf. art. 52 al. 1 PA) et le délai (cf. art. 50 al. 1 PA) prescrits par la loi, est recevable.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4.1</w:t>
      </w:r>
    </w:p>
    <w:p>
      <w:r>
        <w:t>Selon une pratique constante des autorités, une autorisation d'entrée en Suisse ne peut ainsi être délivrée à des étrangers dont le retour dans le pays où ils résident n'est pas assuré, soit en raison de la situation politique ou économique prévalant dans celui-ci, soit en raison de leur situation personnelle.</w:t>
      </w:r>
    </w:p>
    <w:p>
      <w:r>
        <w:rPr>
          <w:b/>
        </w:rPr>
        <w:t>E. 4.2</w:t>
      </w:r>
    </w:p>
    <w:p>
      <w:r>
        <w:t>Lorsque l'autorité examine si l'étranger désirant se rendre en Suisse présente les garanties nécessaires en vue d'une sortie de Suisse dans les délais impartis (au sens de l'art. 5 al. 2 LEtr), elle ne peut le faire que, d'une part, sur la base d'indices fondés sur la situation personnelle, familiale ou professionnelle de cet étranger et, d'autre part, sur une évaluation de son comportement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C-1625/2012 du 4 juillet 2013 consid. 5.3 et références citées).</w:t>
      </w:r>
    </w:p>
    <w:p>
      <w:r>
        <w:rPr>
          <w:b/>
        </w:rPr>
        <w:t>E. 4.4</w:t>
      </w:r>
    </w:p>
    <w:p>
      <w:r>
        <w:t>En l'espèce, les recourants ne contestent pas expressément que les conditions générales pour l'octroi de visas Schengen uniformes ne sont pas remplies. Ils ont exposé dans leur demande à l'ambassade qu'un retour en Syrie n'était pour l'heure pas envisageable en raison de la situation de crise qui y règne. Dans leur recours, ils allèguent en outre que la situation sécuritaire au Liban, en particulier à Tripoli, est "déséquilibrée" et leur existence "difficile". Ainsi, ils admettent qu'il ne peut être garanti qu'ils quitteront le territoire suisse à l'échéance du visa octroyé et c'est à juste titre que le SEM a refusé de leur octroyer des visas Schengen de type C (cf. art. 14 par. 1 let. b et d et art. 21 par. 1 du code des visas, en relation avec l'art. 5 al. 2 LEtr).</w:t>
      </w:r>
    </w:p>
    <w:p>
      <w:r>
        <w:rPr>
          <w:b/>
        </w:rPr>
        <w:t>E. 5.1</w:t>
      </w:r>
    </w:p>
    <w:p>
      <w:r>
        <w:t>Il reste à examiner si les conditions d'octroi d'un visa à validité territoriale limitée pour des motifs humanitaires sont remplies en l'espèce.</w:t>
      </w:r>
    </w:p>
    <w:p>
      <w:r>
        <w:rPr>
          <w:b/>
        </w:rPr>
        <w:t>E. 5.2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5.3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5.4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5.5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Le demandeur est tenu de collaborer à la constatation des faits (cf. ch. 3.1 de la directive du 25 février 2014).</w:t>
      </w:r>
    </w:p>
    <w:p>
      <w:r>
        <w:rPr>
          <w:b/>
        </w:rPr>
        <w:t>E. 5.6</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(cf. ch. 3.1 et 3.2 de la directive du 25 février 2014).</w:t>
      </w:r>
    </w:p>
    <w:p>
      <w:r>
        <w:rPr>
          <w:b/>
        </w:rPr>
        <w:t>E. 6.1</w:t>
      </w:r>
    </w:p>
    <w:p>
      <w:r>
        <w:t>En l'espèce, les recourants ont quitté la Syrie et semblent séjourner depuis (...) ans dans un Etat tiers, le Liban. On peut dès lors considérer qu'ils ne sont plus directement menacés dans leur pays d'origine. Ils font toutefois valoir que leur quotidien à Tripoli est difficile, la situation sécuritaire dans la banlieue de G._______ étant particulièrement tendue et instable. Le recourant travaillerait au sein (...), où lui et sa famille seraient, en contrepartie, logés. Toutefois, ce logement serait "inadmissible" et leur situation financière précaire. Le Tribunal n'ignore pas que depuis 2011, la ville de Tripoli est régulièrement le théâtre de heurts entre sunnites du quartier de Bab el-Tebbaneh, partisans de la rébellion syrienne, et alaouites de Jabal Mohsen soutenant le régime de Bachar Al-Assad. Malgré la tentative de l'armée libanaise de faire cesser la violence dans ces quartiers, la situation demeure délicate et des attaques continuent d'avoir lieu. Force est de relever que si la situation des recourants n'est, à la lumière de ce qui précède, certes pas facile, celle-ci ne fait pas pour autant ressortir l'existence de risques pressants, concrets et sérieux contre leur vie ou leur intégrité physique au Liban. En effet, les recourants, qui se limitent à invoquer une situation d'insécurité générale à Tripoli, où vivent de nombreux ressortissants syriens en exil, n'allèguent à aucun moment craindre de faire l'objet d'une attaque ciblée. Ils n'ont en particulier pas prétendu qu'ils étaient politiquement actifs et qu'ils risquaient qu'on s'en prenne à eux pour ces motifs. Par ailleurs, ils ont été enregistrés par le HCR (en tous les cas les enfants) et entretiennent avec le Liban des liens étroits (la recourante a la nationalité libanaise et les formulaires de demande de visa indiquent que les quatre enfants y seraient nés). Enfin, ils n'ont pas fait valoir qu'ils craignaient que le Liban les rapatrie de manière forcée vers la Syrie, étant précisé que si cet Etat n'est pas signataire de la Convention du 28 juillet 1951 relative au statut des réfugiés (Conv. réfugiés, RS 0.142.301), il applique le principe de non-refoulement qui y est contenu, en vertu du droit international coutumier (cf. notamment arrêt du TAF E-7361/2014 du 25 mars 2014, consid. 7.2).</w:t>
      </w:r>
    </w:p>
    <w:p>
      <w:r>
        <w:rPr>
          <w:b/>
        </w:rPr>
        <w:t>E. 6.2</w:t>
      </w:r>
    </w:p>
    <w:p>
      <w:r>
        <w:t>Les recourants font en outre valoir que les affections neurologiques de leur fils cadet sont à ce point graves, qu'elles justifient qu'ils soient autorisés à entrer en Suisse, afin d'y déposer une demande d'asile. Selon les rapports médicaux annexés, l'enfant F._______ est atteint du (...). Il nécessite un examen par électroencéphalogramme à fréquence de deux fois par an et suit un traitement médicamenteux. La maladie dont il souffre depuis sa naissance est, au vu du diagnostic posé, certes sérieuse. Toutefois, force est de constater qu'il ne ressort pas des pièces transmises que ces affections l'exposeraient, de manière imminente, à un risque pour sa vie. En effet, le Liban dispose d'un système de soins développé et efficace, en particulier dans les grandes villes (cf. International Organization for Migration [IOM] - Germany, Country Fact Sheet, Lebanon, août 2014, p. 6). Aussi et surtout, l'enfant a pu bénéficier d'un suivi médical spécialisé en lien avec ses affections et ce à intervalle régulier. Or, les recourants n'ont apporté aucun élément concret permettant de retenir que ce suivi ne pourrait plus être assuré et la médication prescrite plus lui être administrée. En dépit des difficultés financières alléguées, les intéressés ne sont pas dépourvus de tout soutien au Liban, où vivent plusieurs membres de leur famille (notamment les parents de la recourante et le frère du recourant avec sa famille), lesquels pourront au besoin leur venir en aide. Ils pourront en outre, si cela n'est pas déjà fait, se faire enregistrer afin d'obtenir l'accès aux soins, au besoin en s'adressant aux organisations d'aide humanitaires actives sur place.</w:t>
      </w:r>
    </w:p>
    <w:p>
      <w:r>
        <w:rPr>
          <w:b/>
        </w:rPr>
        <w:t>E. 6.3</w:t>
      </w:r>
    </w:p>
    <w:p>
      <w:r>
        <w:t>Au vu de ce qui précède, il n'apparaît pas que la vie ou l'intégrité physique des intéressés seraient directement, sérieusement et concrètement menacées au Liban.</w:t>
      </w:r>
    </w:p>
    <w:p>
      <w:r>
        <w:rPr>
          <w:b/>
        </w:rPr>
        <w:t>E. 7.1</w:t>
      </w:r>
    </w:p>
    <w:p>
      <w:r>
        <w:t>Dans ces conditions, il y a lieu de considérer que les recourants ne se trouvent pas dans une situation de danger imminent justifiant l'octroi de visas humanitaires.</w:t>
      </w:r>
    </w:p>
    <w:p>
      <w:r>
        <w:rPr>
          <w:b/>
        </w:rPr>
        <w:t>E. 7.2</w:t>
      </w:r>
    </w:p>
    <w:p>
      <w:r>
        <w:t>Partant, le recours doit être rejeté.</w:t>
      </w:r>
    </w:p>
    <w:p>
      <w:r>
        <w:rPr>
          <w:b/>
        </w:rPr>
        <w:t>E. 8</w:t>
      </w:r>
    </w:p>
    <w:p>
      <w:r>
        <w:t>Vu l'issue de la cause, il y aurait lieu de mettre les frais de procédure à la charge des recourants, conformément aux art. 63 al. 1 PA et 3 let. b du règlement du 21 février 2008 concernant les frais, dépens et indemnités fixés par le Tribunal administratif fédéral (FITAF, RS 173.320.2). A titre exceptionnel, il y est toutefois renoncé (cf. art. 63 al. 1 i.f. LAsi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