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E-5724/2016 vom 28. Februar 2017</w:t>
      </w:r>
    </w:p>
    <w:p>
      <w:r>
        <w:t>Bundesverwaltungsgericht, 2017-02-28, DE</w:t>
      </w:r>
    </w:p>
    <w:p>
      <w:r>
        <w:rPr>
          <w:b/>
        </w:rPr>
        <w:t xml:space="preserve">Quelle: </w:t>
      </w:r>
      <w:r>
        <w:t>https://mcp.opencaselaw.ch/entscheid/bvger_E-5724_2016</w:t>
      </w:r>
    </w:p>
    <w:p>
      <w:r>
        <w:t>FR: TAF E-5724/2016 du 28 février 2017</w:t>
      </w:r>
    </w:p>
    <w:p>
      <w:r>
        <w:t>IT: TAF E-5724/2016 del 28 febbraio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Die Kognition des Bundesverwaltungsgerichts und die zulässigen Rügen richten sich im Asylbereich nach Art. 106 Abs. 1 AsylG.</w:t>
      </w:r>
    </w:p>
    <w:p>
      <w:r>
        <w:rPr>
          <w:b/>
        </w:rPr>
        <w:t>E. 2.2</w:t>
      </w:r>
    </w:p>
    <w:p>
      <w:r>
        <w:t>Gegenstand des vorliegenden Beschwerdeverfahrens bildet einzig die Flüchtlingseigenschaft des Beschwerdeführers. Im Asyl- und Wegweisungspunkt wird die Verfügung von ihm nicht angefochten und der Wegweisungsvollzug ist nicht mehr zu prüfen, nachdem die Vorinstanz den Beschwerdeführer wegen Unzumutbarkeit des Vollzugs der Wegweisung vorläufig aufgenommen hat.</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Gemäss Art. 54 AsylG wird Flüchtlingen kein Asyl gewährt, wenn sie erst durch ihre Ausreise aus dem Heimat- oder Herkunftsstaat oder wegen ihres Verhaltens nach der Ausreise Flüchtlinge im Sinne von Art. 3 AsylG wurden (subjektive Nachfluchtgründe).</w:t>
      </w:r>
    </w:p>
    <w:p>
      <w:r>
        <w:rPr>
          <w:b/>
        </w:rPr>
        <w:t>E. 4.1</w:t>
      </w:r>
    </w:p>
    <w:p>
      <w:r>
        <w:t>Die Vorinstanz führt in der angefochtenen Verfügung aus, der Beschwerdeführer erfülle die Flüchtlingseigenschaft nicht. Dieser mache geltend, illegal aus Eritrea ausgereist zu sein. Es müsse deshalb geprüft werden, ob konkrete Indizien vorliegen würden, welche eine Verfolgung im Heimatstaat mit beachtlicher Wahrscheinlichkeit nahelegen würden. Für Personen, welche freiwillig nach Eritrea zurückkehren würden, würden die eritreischen Straftatbestände für die illegale Ausreise nicht zur Anwendung gelangen. Illegal Ausgereiste könnten straffrei zurückkehren, sofern sie die sogenannte Disporasteuer bezahlt hätten und, sofern sie ihre nationale Dienstpflicht nicht erfüllt hätten, ein Reueformular unterzeichneten. Bei zwangsweisen Rückführungen müsse davon ausgegangen werden, dass der Nationaldienst-Status das wichtigste Kriterium für den Umgang der eritreischen Behörden mit Rückkehrern darstelle. Die illegale Ausreise spiele eine untergeordnete Rolle. Der Beschwerdeführer habe weder den Nationaldienst verweigert, noch sei er aus dem Nationaldienst desertiert. Er habe demnach nicht gegen die Proclamation on National Service von 1995 verstossen. Aus den Akten seien auch sonst keine Hinweise zu entnehmen, dass er bei einer Rückkehr ernsthafte Nachteile zu gewärtigen hätte. Die Vorbringen des Beschwerdeführers zur illegalen Ausreise aus Eritrea seine deshalb asylrechtlich unbeachtlich.</w:t>
      </w:r>
    </w:p>
    <w:p>
      <w:r>
        <w:rPr>
          <w:b/>
        </w:rPr>
        <w:t>E. 4.2</w:t>
      </w:r>
    </w:p>
    <w:p>
      <w:r>
        <w:t>Der Beschwerdeführer wendet dagegen ein, in der Praxis sei anerkannt, dass die eritreischen Behörden Personen, welche Eritrea illegal verlassen hätten, grundsätzlich eine regierungsfeindliche Haltung unterstellen und bei einer Rückkehr sehr hart bestrafen würden. Er lege glaubhaft dar, dass er Eritrea illegal verlassen habe. Das illegale Verlassen seines Heimatlandes gelte nach ständiger Rechtsprechung des Bundesverwaltungsgerichts als subjektiver Nachfluchtgrund (mit Verweis auf BVGE 2009/29). Diese Rechtsprechung sei verbindlich (mit Verweis auf BVGE 2010/54). Es gebe kein Grund für eine Praxisänderung, weil zu Eritrea keine neuen Herkunftsländerinformationen vorliegen würden. Der vorgenommenen Praxisänderung fehle es an jeglicher Grundlage.</w:t>
      </w:r>
    </w:p>
    <w:p>
      <w:r>
        <w:rPr>
          <w:b/>
        </w:rPr>
        <w:t>E. 4.3</w:t>
      </w:r>
    </w:p>
    <w:p>
      <w:r>
        <w:t>Das Bundesverwaltungsgericht ging in seiner bisherigen Rechtsprechung davon aus, dass eine illegale Ausreise aus Eritrea als subjektiver Nachfluchtgrund anzusehen sei, weil illegal Ausgereiste bei einer Rückkehr nach Eritrea mit erheblichen Nachteilen im Sinne von Art. 3 AsylG rechnen müssten (vgl. Urteil des BVGer D-3892/2008 vom 6. April 2010, E. 5.3.3). Diese Rechtsprechung wurde jüngst aufgegeben. Das Bundesverwaltungsgericht kam im Urteil D-7898/2015 vom 30. Januar 2017 (zur Publikation als Referenzurteil vorgesehen) nach einer eingehenden Lageanalyse (E. 4.6-4.11) zum Schluss, dass die bisherige Praxis, wonach eine illegale Ausreise per se zur Flüchtlingseigenschaft führe, nicht mehr aufrechterhalten werden könne. Es sei nicht mit überwiegender Wahrscheinlichkeit davon auszugehen, dass einer Person einzig aufgrund ihrer illegalen Ausreise aus Eritrea eine asylrelevante Verfolgung drohe. Nicht asylrelevant sei auch die Möglichkeit, dass jemand nach der Rückkehr in den Nationaldienst eingezogen werde (E. 5.1).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5.2).</w:t>
      </w:r>
    </w:p>
    <w:p>
      <w:r>
        <w:rPr>
          <w:b/>
        </w:rPr>
        <w:t>E. 4.4</w:t>
      </w:r>
    </w:p>
    <w:p>
      <w:r>
        <w:t>Die Frage der Zulässigkeit der Praxisänderung der Vorinstanz bezüglich der flüchtlingsrechtlichen Beurteilung der illegalen Ausreise aus Eritrea ist vom Bundesverwaltungsgericht in einem Koordinationsverfahren geklärt worden. Es kam zum Schluss, dass allein aufgrund einer illegalen Ausreise keine begründete Furcht vor asylrechtlich beachtlicher Verfolgung angenommen werden könne (vgl. oben E. 4.3). Nachdem der Beschwerdeführer neben der illegalen Ausreise keine zusätzlichen Anknüpfungspunkte für eine Verschärfung seines Profils aufweist, lässt sich keine asylrechtlich beachtliche Verfolgung annehmen. Aus dem Verweis auf vor der Praxisänderung ergangene Urteile des Bundesverwaltungsgerichts, ein Urteil des UK Upper Tribunal sowie auf ein Urteil des Europäischen Gerichtshofs für Menschenrechte (EGMR), bei welchem vorsorgliche Massnahmen erlassen worden seien, kann der Beschwerdeführer nichts zu seinen Gunsten ableiten. Gleiches gilt für seine Ausführungen zur Minderjährigkeit, zumal er die Volljährigkeit mittlerweile erreicht hat.</w:t>
      </w:r>
    </w:p>
    <w:p>
      <w:r>
        <w:rPr>
          <w:b/>
        </w:rPr>
        <w:t>E. 4.5</w:t>
      </w:r>
    </w:p>
    <w:p>
      <w:r>
        <w:t>Zusammenfassend konnte der Beschwerdeführer das Vorliegen von subjektiven Nachfluchtgründen nicht nachweisen oder zumindest glaubhaft machen. Die Vorinstanz hat deshalb zu Recht die Flüchtlingseigenschaft des Beschwerdeführers verneint.</w:t>
      </w:r>
    </w:p>
    <w:p>
      <w:r>
        <w:rPr>
          <w:b/>
        </w:rPr>
        <w:t>E. 5</w:t>
      </w:r>
    </w:p>
    <w:p>
      <w:r>
        <w:t>Aus diesen Erwägungen ergibt sich, dass die angefochtene Verfügung Bundesrecht nicht verletzt und auch sonst nicht zu beanstanden ist (Art. 106 Abs. 1 AsylG). Für eine Rückweisung der Sache an die Vorinstanz besteht nach dem Gesagten kein Anlass. Die Beschwerde ist abzuweisen.</w:t>
      </w:r>
    </w:p>
    <w:p>
      <w:r>
        <w:rPr>
          <w:b/>
        </w:rPr>
        <w:t>E. 6.1</w:t>
      </w:r>
    </w:p>
    <w:p>
      <w:r>
        <w:t>Bei diesem Ausgang des Verfahrens wären die Kosten dem Beschwerdeführer aufzuerlegen (Art. 63 Abs. 1 VwVG). Da der Antrag auf Gewährung der unentgeltlichen Prozessführung mit Zwischenverfügung vom 22. September 2016 gutgeheissen wurde, sind keine Kosten zu erheben.</w:t>
      </w:r>
    </w:p>
    <w:p>
      <w:r>
        <w:rPr>
          <w:b/>
        </w:rPr>
        <w:t>E. 6.2</w:t>
      </w:r>
    </w:p>
    <w:p>
      <w:r>
        <w:t>Der vom Gericht am 31. Oktober 2016 bestellten unentgeltlichen Rechtsbeiständin des Beschwerdeführers ist eine Entschädigung zu Lasten des Gerichts auszurichten (Art. 65 Abs. 5 VwVG und Art. 12 i.V.m. Art. 8 ff. des Reglements vom 21. Februar 2008 über die Kosten und Entschädigungen vor dem Bundesverwaltungsgericht [VGKE, SR 173.320.2]). Sie hat keine Kostennote zu den Akten gereicht. Auf eine Nachforderung kann verzichtet werden, da sich die Vertretungskosten aufgrund der Akten zuverlässig abschätzen lassen (Art. 14 Abs. 2 VGKE). Der amtlichen Rechtsbeiständin ist durch das Bundesverwaltungsgericht ein amtliches Honorar gestützt auf die in Betracht zu ziehenden Bemessungsfaktoren (Art. 9-13 VGKE) in der Höhe von Fr. 1'500.- (inkl. Auslagen und MWSt)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