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E-5721/2020 vom 12. Januar 2021</w:t>
      </w:r>
    </w:p>
    <w:p>
      <w:r>
        <w:t>Bundesverwaltungsgericht, 2021-01-12, DE</w:t>
      </w:r>
    </w:p>
    <w:p>
      <w:r>
        <w:rPr>
          <w:b/>
        </w:rPr>
        <w:t xml:space="preserve">Quelle: </w:t>
      </w:r>
      <w:r>
        <w:t>https://mcp.opencaselaw.ch/entscheid/bvger_E-5721_2020</w:t>
      </w:r>
    </w:p>
    <w:p>
      <w:r>
        <w:t>FR: TAF E-5721/2020 du 12 janvier 2021</w:t>
      </w:r>
    </w:p>
    <w:p>
      <w:r>
        <w:t>IT: TAF E-5721/2020 del 12 gennaio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Beschwerdeführenden machen formelle Rügen geltend, welche vorab zu prüfen sind, da deren Gutheissung geeignet wäre, eine Kassation der vorinstanzlichen Verfügung zu bewirken.</w:t>
      </w:r>
    </w:p>
    <w:p>
      <w:r>
        <w:rPr>
          <w:b/>
        </w:rPr>
        <w:t>E. 3.2</w:t>
      </w:r>
    </w:p>
    <w:p>
      <w:r>
        <w:t>In der Beschwerde wird vorgetragen, das SEM habe den Sachverhalt zur politischen Verfolgung des Beschwerdeführers und zur medizinischen Versorgung in Pakistan unvollständig erstellt. Die Vorinstanz wäre zwingend gehalten gewesen, mittels einer Botschaftsabklärung die Vorbringen des Beschwerdeführers und die zahlreichen juristischen Dokumente, welche er ins Recht gelegt habe, zu überprüfen. Zudem wäre mittels einer Botschaftsabklärung in Erfahrung zu bringen gewesen, ob in Pakistan insbesondere für die Beschwerdeführerin 4 eine konkrete Behandlungsmöglichkeit besteht und der Zugang dazu gewährleistet wäre.</w:t>
      </w:r>
    </w:p>
    <w:p>
      <w:r>
        <w:rPr>
          <w:b/>
        </w:rPr>
        <w:t>E. 3.3</w:t>
      </w:r>
    </w:p>
    <w:p>
      <w:r>
        <w:t>Das Bundesverwaltungsgericht erachtet die formelle Rüge der mangelhaften Sachverhaltsabklärung im Zusammenhang mit nötigen Abklärungen durch die Schweizer Botschaft betreffend die von den Beschwerdeführenden geltend gemachte Strafverfolgung des Beschwerdeführers und der Beschwerdeführerin für begründet.</w:t>
      </w:r>
    </w:p>
    <w:p>
      <w:r>
        <w:rPr>
          <w:b/>
        </w:rPr>
        <w:t>E. 3.4</w:t>
      </w:r>
    </w:p>
    <w:p>
      <w:r>
        <w:t>Das Verwaltungs-, und so auch das Asylverfahren werden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Die Behörde hat alle sach- und entscheidwesentlichen Tatsachen und Ergebnisse in den Akten festzuhalten. Unvollständig ist die Sachverhaltsfeststellung, wenn nicht alle für den Entscheid rechtsrelevanten Sachumstände berücksichtigt wurden. Dies ist häufig dann der Fall, wenn die Vor-instanz gleichzeitig den Anspruch der Parteien auf rechtliches Gehör verletzt hat (vgl. BVGE 2015/10 E. 3.2; Patrick L. Krauskopf/Katrin Emmenegger, in: Praxiskommentar zum Bundesgesetz über das Verwaltungsverfahren, Waldmann/Weissberger [Hrsg.] 2. Aufl. 2016, Art. 12 VwVG N 19 ff. und N 42, Alfred Kölz/Isabelle Häner/Martin Bertschi, Verwaltungsverfahren und Verwaltungsrechtspflege des Bundes, 3. Aufl., Zürich 2013, Rz. 1043 ff.).</w:t>
      </w:r>
    </w:p>
    <w:p>
      <w:r>
        <w:rPr>
          <w:b/>
        </w:rPr>
        <w:t>E. 3.5</w:t>
      </w:r>
    </w:p>
    <w:p>
      <w:r>
        <w:t>Das SEM hat am 25. September 2020 eine Sachverhaltsabklärung bei der Schweizer Botschaft beantragt (vgl. Bst. D) und um Nachforschungen sowie die Beantwortung spezifischer Fragen betreffend die Hintergründe der vom Beschwerdeführer geltend gemachten Asylvorbringen ersucht. Das Abklärungsersuchen betraf insbesondere auch die Überprüfung des vom Beschwerdeführer zuletzt in der Anhörung noch eingereichten Haftbefehls, welcher sich angeblich auch an seine Ehefrau, die Beschwerdeführerin, richten solle. In den Akten ist am 27. Oktober 2020 vermerkt, dass die Antwort der Botschaft noch ausstehend sei (vgl. B46). Dennoch hat das SEM - ohne die Antwort der Botschaft abzuwarten - am gleichen Tag einen ablehnenden Entscheid erlassen. Dieses Vorgehen ist nicht schlüssig und mit der Pflicht zur Amtsermittlung, welche dem SEM aus Art. 12 VwVG erwächst, und seiner Pflicht zur Entgegennahme und Würdigung der Vorbringen des Beschwerdeführers nicht zu vereinbaren. Das SEM hat den Sachverhalt demnach nur unvollständig erstellt, da es die zunächst seinerseits als entscheidrelevant erachteten Abklärungen, die es selbst nur kurze Zeit vorher in Auftrag gegeben hatte, nicht abgewartet hat, sondern den Entscheid ungeachtet des ausstehenden Abklärungsergebnisses erliess, obwohl aus den Akten hervorgeht, dass das Abklärungsergebnis relativ zeitnah zu erwarten gewesen wäre - nämlich Ende November 2020 (vgl. B46). Angesichts des Umstandes, dass das Verfahren der Beschwerdeführenden seit dem Entscheid zur Wiederaufnahme des nationalen Verfahrens durch das SEM vom 8. Mai 2018 bereits seit geraumer Zeit hängig war, wäre die Vorinstanz gehalten gewesen, mit dem Entscheid zuzuwarten, bis das Ergebnis der von ihr selbst in Auftrag gegebenen Abklärung vorgelegen hätte und dieses in die Würdigung einzubeziehen. Es ist denn auch nicht nachvollziehbar, dass die Vor-instanz am 25. September 2020 Abklärungsbedarf durch die Schweizer Botschaft erkannt und entsprechende Fragen und das Ersuchen um Abklärungen übermittelte (vgl. oben Bst. D), um nur einen Monat später implizit zum Schluss zu gelangen, auf Abklärungen könne verzichtet werden.</w:t>
      </w:r>
    </w:p>
    <w:p>
      <w:r>
        <w:rPr>
          <w:b/>
        </w:rPr>
        <w:t>E. 3.6</w:t>
      </w:r>
    </w:p>
    <w:p>
      <w:r>
        <w:t>Es ist damit festzustellen, dass das SEM den rechtserheblichen Sachverhalt nicht hinlänglich abgeklärt hat. Zu den Abklärungsergebnissen der Schweizer Botschaft wird den Beschwerdeführenden sodann das rechtliche Gehör zu gewähren sein; auch diese Handlung ist vorzunehmen, noch bevor eine erstinstanzliche Verfügung ergeht. Es kann nicht dem Bundesverwaltungsgericht obliegen, dies nach einem allfälligen Eintreffen der Botschaftsabklärungen im Verlauf des Beschwerdeverfahrens an Stelle der Vorinstanz vorzunehmen. Das Bundesverwaltungsgericht sieht sich demnach vorliegend nicht in der Lage, die ausstehenden Abklärungen vorzunehmen, insbesondere auch, weil den Beschwerdeführenden dadurch eine Instanz verloren gehen würde.</w:t>
      </w:r>
    </w:p>
    <w:p>
      <w:r>
        <w:rPr>
          <w:b/>
        </w:rPr>
        <w:t>E. 3.7</w:t>
      </w:r>
    </w:p>
    <w:p>
      <w:r>
        <w:t>Die angefochtene Verfügung ist demnach aufzuheben und die Vor-instanz ist gehalten, den Sachverhalt im Sinne der Erwägungen umfassend zu erstellen und anschliessend rechtlich zu würdigen und neu zu verfügen.</w:t>
      </w:r>
    </w:p>
    <w:p>
      <w:r>
        <w:rPr>
          <w:b/>
        </w:rPr>
        <w:t>E. 4</w:t>
      </w:r>
    </w:p>
    <w:p>
      <w:r>
        <w:t>Bei diesem Ausgang des Verfahrens sind keine Kosten zu erheben (Art. 63 Abs. 1 und 2 VwVG).</w:t>
      </w:r>
    </w:p>
    <w:p>
      <w:r>
        <w:rPr>
          <w:b/>
        </w:rPr>
        <w:t>E. 5</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Das Gericht erachtet alle Ausführungen des Rechtsvertreters in der Beschwerdeeingabe vom 16. November 2020 als notwendig im Sinne des Art. 64 Abs. 1 VwVG und einer verantwortungsvollen Mandatsführung. Insbesondere musste der Rechtsvertreter auch zu Fragen der Flüchtlingseigenschaft, der Asylgewährung und des Wegweisungsvollzugs Stellung nehmen und durfte sich nicht auf formelle Rügen beschränken. Der Sachverhalt weist eine überdurchschnittliche Komplexität auf und beschlägt verschiedene Elemente (Asyl und Flüchtlingseigenschaft einerseits, mögliche Vollzugshindernisse aufgrund des Gesundheitszustandes andererseits), die geltend gemachten formellen Rügen beziehen sich daher nur auf einen Aspekt unter mehreren beachtlichen. Gestützt auf die in Betracht zu ziehenden Bemessungsfaktoren (Art. 9-13 VGKE) ist den Beschwerde-führenden zulasten der Vorinstanz eine Parteientschädigung von insgesamt Fr. 2900.-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