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E-571/2013 vom 10. April 2013</w:t>
      </w:r>
    </w:p>
    <w:p>
      <w:r>
        <w:t>Bundesverwaltungsgericht, 2013-04-10, DE</w:t>
      </w:r>
    </w:p>
    <w:p>
      <w:r>
        <w:rPr>
          <w:b/>
        </w:rPr>
        <w:t xml:space="preserve">Quelle: </w:t>
      </w:r>
      <w:r>
        <w:t>https://mcp.opencaselaw.ch/entscheid/bvger_E-571_2013</w:t>
      </w:r>
    </w:p>
    <w:p>
      <w:r>
        <w:t>FR: TAF E-571/2013 du 10 avril 2013</w:t>
      </w:r>
    </w:p>
    <w:p>
      <w:r>
        <w:t>IT: TAF E-571/2013 del 10 aprile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und nachträglich aufgefundener entscheidender Beweismittel (Art. 123 Abs. 2 Bst. a BGG) geltend und tut die Rechtzeitigkeit des Revisionsbegehrens dar. Auf das im Übrigen frist- und formgerecht eingereichte Revisionsgesuch ist deshalb einzutreten.</w:t>
      </w:r>
    </w:p>
    <w:p>
      <w:r>
        <w:rPr>
          <w:b/>
        </w:rPr>
        <w:t>E. 3.1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müssen;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dass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3.2</w:t>
      </w:r>
    </w:p>
    <w:p>
      <w:r>
        <w:t>Der Gesuchsteller macht in seinem Revisionsgesuch geltend, im Zusammenhang mit der Ermordung eines Polizisten im Jahre 2005 (noch immer) polizeilich gesucht zu werden, und reicht Dokumente zu den Akten, die dieses Vorbringen beweisen sollen. Diese Tatsachenbehauptung ist indes insofern nicht neu, als er bereits im erstinstanzlichen Asylverfahren vorgebracht hat, im Zusammenhang mit dieser Ermordung von unbekannten Männern in Zivil gesucht zu werden und aus diesem Grund geflohen zu sein. Dabei handelt es sich aber auch nicht um eine im ordentlichen Verfahren unbewiesen gebliebene Tatsache. Denn sie wurde vom BFM, welches die Flüchtlingseigenschaft mangels Asylrelevanz der Asylgründe verneinte und deren Glaubhaftigkeit nicht prüfte, gar nicht ausdrücklich bestritten. Da sich die erhobene Beschwerde gegen den negativen Entscheid auf den Vollzugspunkt beschränkte, bildete dieses Vorbringen auch nicht Gegenstand des Beschwerdeverfahrens und kann infolge dessen auch nicht als angeblich unbewiesen gebliebene Tatsache zum Gegenstand des Revisionsverfahrens geltend gemacht werden. Hinsichtlich der mit dem Revisionsgesuch eingereichten Beweismittel ist ausserdem festzustellen, dass der Gesuchsteller selber einräumt, sich erst nach dem Urteil vom 21. November 2012 um die Beschaffung der neuen Beweismittel bemüht zu haben. Deshalb sind sie klarerweise als verspätet im Sinne von Art 46 VGG zu würdigen. Zwei der eingereichten Beweismittel sind im Übrigen nach Erlass des Urteils vom 21. November 2012 datiert, nämlich vom 18. Dezember 2012 bzw. vom 20. Dezember 2012, und damit gemäss dem klaren Wortlaut von Art. 123 Abs. 2 Bst. a in fine BGG im Revisionsverfahren nicht zugelassen. Nach dem Gesagten erweist sich das Revisionsgesuch in mehrfacher Hinsicht als unbegründet, so dass es sich erübrigt, auf den Beweiswert der eingereichten Beweismittel näher einzugehen. Anzumerken sei hingegen, dass deren Beweiswert als gering einzustufen ist. Dies gilt im besonderen Masse für die angebliche Kopie eines Haftbefehls. Die Echtheit dieses Dokuments ist äusserst fragwürdig, nicht zuletzt deshalb, weil der Gesuchsteller nicht erklärt, warum das Dokument als blosse Kopie eine Originalunterschrift enthält.</w:t>
      </w:r>
    </w:p>
    <w:p>
      <w:r>
        <w:rPr>
          <w:b/>
        </w:rPr>
        <w:t>E. 4</w:t>
      </w:r>
    </w:p>
    <w:p>
      <w:r>
        <w:t>Zusammenfassend ist festzuhalten, dass keine revisionsrechtlich relevanten Gründe dargetan sind. Das Gesuch um Revision des Urteils des Bundesverwaltungsgerichts vom 21. November 2012 ist demzufolge abzuweisen. 5.Bei diesem Ausgang des Verfahrens sind die Kosten von Fr. 1200.- dem Gesuchsteller aufzuerlegen (Art. 37 VGG i.V.m. Art. 63 Abs. 1 VwVG; Art. 1 - 3 des Reglements vom 21. Februar 2008 über die Kosten und Entschädigungen vor dem Bundesverwaltungsgericht [VGKE, SR 173.320.2]).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