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E-5719/2017 vom 12. Oktober 2017</w:t>
      </w:r>
    </w:p>
    <w:p>
      <w:r>
        <w:t>Bundesverwaltungsgericht, 2017-10-12, DE</w:t>
      </w:r>
    </w:p>
    <w:p>
      <w:r>
        <w:rPr>
          <w:b/>
        </w:rPr>
        <w:t xml:space="preserve">Quelle: </w:t>
      </w:r>
      <w:r>
        <w:t>https://mcp.opencaselaw.ch/entscheid/bvger_E-5719_2017</w:t>
      </w:r>
    </w:p>
    <w:p>
      <w:r>
        <w:t>FR: TAF E-5719/2017 du 12 octobre 2017</w:t>
      </w:r>
    </w:p>
    <w:p>
      <w:r>
        <w:t>IT: TAF E-5719/2017 del 12 ottobre 2017</w:t>
      </w:r>
    </w:p>
    <w:p>
      <w:pPr>
        <w:pStyle w:val="Heading2"/>
      </w:pPr>
      <w:r>
        <w:t>Regeste</w:t>
      </w:r>
    </w:p>
    <w:p>
      <w:r>
        <w:t>Flughafenverfahren (Asyl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2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Die Vorinstanz kommt in der angefochtenen Verfügung zum Schluss, die Vorbringen des Beschwerdeführers hielten den Anforderungen an das Glaubhaftmachen gemäss Art. 7 AsylG nicht stand.</w:t>
      </w:r>
    </w:p>
    <w:p>
      <w:r>
        <w:rPr>
          <w:b/>
        </w:rPr>
        <w:t>E. 5.2</w:t>
      </w:r>
    </w:p>
    <w:p>
      <w:r>
        <w:t>Zur Begründung hielt sie fest, einzelne Teile der Vorbringen des Beschwerdeführers würden zwar auf verifizierbaren Fakten beruhen, insgesamt seien seine Ausführungen aber unsubstantiiert. Insbesondere seien seine Angaben zur BDK und BDM nicht fundiert, was erstaune, da sein Vater (...) der Bewegung und er selbst ein aktives Mitglied gewesen sei. Seine Kenntnisse würden sehr rudimentär erscheinen. Er habe namentlich nicht gewusst, dass die BDK im Jahr 2008 verboten worden sei und sein Wissen über die Ziele der Organisation habe nicht über oberflächliche Aussagen hinaus gereicht. Dementsprechend habe er auch seine eigenen Tätigkeiten für die Bewegung detailarm und substanzlos geschildert. Organisationsspezifische Details hätten gänzlich gefehlt. Da er lediglich sehr wenige Demonstrationen organisiert und es sich daher um ausserordentliche Ereignisse gehandelt habe, erscheine es unerklärlich, dass er deren Anzahl nicht spontan habe nennen können. Weiter erscheine seine Schilderung zum Tag als sein Vater angeschossen und er verhaftet worden sei pauschal und wenig erlebnisbasiert. Schliesslich habe er auch die Dauer seiner Haft widersprüchlich geschildert. Im Laufe der Anhörung habe er einmal von sechs Wochen, ein anderes Mal vom (...) bis zum (...) 2017, was elf Wochen wären, gesprochen. Die Ereignisse am (...) und (...) 2017 seien in den Medien bekannt gemacht worden, seine Haftdauer hingegen habe er nicht richtig angeben können, was den Eindruck vermittle, seine Vorbringen seien konstruiert. Dementsprechend habe er die Diskrepanz in seinen Angaben nicht nachvollziehbar erklären können. Die Ausführungen zu seiner Flucht hätten sich auf Informationen beschränkt, die in öffentlichen Medienpublikationen nachzulesen seien. Angesichts seiner widersprüchlichen Angaben in zentralen Punkten, würden sich die Zweifel an der Glaubhaftigkeit seiner Vorbringen erhärten und er habe in Anbetracht der diversen Unklarheiten und Ungereimtheiten die geltend gemachte Furcht vor eine Verfolgung im Heimatland nicht glaubhaft machen können.</w:t>
      </w:r>
    </w:p>
    <w:p>
      <w:r>
        <w:rPr>
          <w:b/>
        </w:rPr>
        <w:t>E. 5.3.1</w:t>
      </w:r>
    </w:p>
    <w:p>
      <w:r>
        <w:t>In der Rechtsmitteleingabe rügt der Beschwerdeführer, die Vorinstanz habe den Massstab des Glaubhaftmachens nicht richtig angewendet, mithin Bundesrecht verletzt.</w:t>
      </w:r>
    </w:p>
    <w:p>
      <w:r>
        <w:rPr>
          <w:b/>
        </w:rPr>
        <w:t>E. 5.3.2</w:t>
      </w:r>
    </w:p>
    <w:p>
      <w:r>
        <w:t>Zunächst bringt der Beschwerdeführer vor, er sei aufgrund der Vorfälle und den Umständen auf seiner Flucht traumatisiert, weshalb es durchaus normal erscheine, dass er sich in seinen Schilderungen widersprochen habe. Er habe denn auch bereits zu Beginn des Asylverfahrens angegeben, er sei psychisch beeinträchtigt. Zunächst ist festzuhalten, dass der Beschwerdeführer im Rahmen seiner Mitwirkungspflicht (Art. 8 AsylG) bis heute keinen entsprechenden Beleg für die geltend gemachte psychische Beeinträchtigung eingereicht hat. Vielmehr hat er anlässlich der BzP angegeben, er sei bei guter Gesundheit (vgl. SEM-Akten A8/15-26). Den Protokollen der BzP und der Anhörung sind denn auch keinerlei Hinweise für eine psychische Beeinträchtigung des Beschwerdeführers zu entnehmen. Er konnte ohne Probleme auf die gestellten Fragen antworten und seine Gründe ausführlich schildern. Darüber hinaus hat auch die zur Beobachtung einer korrekten Anhörung anwesende Hilfswerksvertretung keine entsprechenden Feststellungen gemacht. Die Protokolle können dem vorliegenden Entscheid folglich zu Grund gelegt werden. Die Sachverhaltsfeststellung durch die Vorinstanz erweist sich weder als unrichtig noch als unvollständig. Für eine Rückweisung der Sache an die Vorinstanz zur weiteren Abklärung besteht somit keine Veranlassung, weshalb dieser Antrag abzuweisen ist.</w:t>
      </w:r>
    </w:p>
    <w:p>
      <w:r>
        <w:rPr>
          <w:b/>
        </w:rPr>
        <w:t>E. 5.3.3</w:t>
      </w:r>
    </w:p>
    <w:p>
      <w:r>
        <w:t>Die vorinstanzliche Beweiswürdigung ist nicht zu beanstanden. In der angefochtenen Verfügung wird ausführlich dargelegt, aus welchen Gründen die Vorbringen des Beschwerdeführers unsubstantiiert, wenig fundiert, detailarm, oberflächlich, widersprüchlich sowie nicht nachvollziehbar und damit insgesamt nicht glaubhaft sind. Was in der Rechtsmitteleingabe dagegen vorgebracht wird, ist nicht geeignet, die Aussagen in einem anderen Licht erscheinen zu lassen. Soweit sich der Beschwerdeführer zur Klärung der Unstimmigkeiten in den Aussagen auf seinen psychischen Zustand beruft, ist dieser nicht näher belegt und vermag er daraus nichts zu seinen Gunsten abzuleiten. Auch mit dem sinngemässen Wiederholen des aktenkundigen Sachverhalts und dem Festhalten daran, er habe konzis und übereinstimmend ausgesagt, legt er nicht dar, inwiefern die Vorinstanz zu Unrecht auf Unglaubhaftigkeit geschlossen hat. Solches ist auch nicht ersichtlich. Um Wiederholungen zu vermeiden, kann auf die zutreffenden Erwägungen in der angefochtenen Verfügung verwiesen werden. Eine Bundesrechtsverletzung ist nicht erkennbar.</w:t>
      </w:r>
    </w:p>
    <w:p>
      <w:r>
        <w:rPr>
          <w:b/>
        </w:rPr>
        <w:t>E. 5.4</w:t>
      </w:r>
    </w:p>
    <w:p>
      <w:r>
        <w:t>Zusammenfassend hat der Beschwerdeführer nichts vorgebracht, das geeignet wäre, die Flüchtlingseigenschaft nachzuweisen oder glaubhaft zu machen. Bei dieser Sachlage besteht keine Veranlassung, den Eingang allfälliger weiterer Beweismittel abzuwarten. Die Vorinstanz hat die Flüchtlingseigenschaft des Beschwerdeführers zu Recht verneint und sein Asylgesuch abgewiesen.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Der Vollzug der Wegweisung erweist sich sowohl im Sinne der asyl- als auch der völkerrechtlichen Bestimmungen als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Hinsichtlich der Beurteilung der allgemeinen Lage in Kongo (Kinshasa) ist auf das Urteil BVGE 2010/57 zu verweisen, welches eine detaillierte Analyse zur politischen Situation (E. 4.1.1) und zur allgemeinen Menschenrechtslage (E. 4.1.2) enthält. Die Lageanalyse trifft grundsätzlich auch heute noch zu, wobei der bewaffnete Konflikt im Osten des Landes andauert und als Folge davon Übergriffe auf Zivilisten ausgehend sowohl durch die Sicherheitskräfte als auch die nicht-staatlichen bewaffneten Gruppen bekannt geworden sind. Im Vorfeld der geplanten Neuwahlen in Kinshasa kam es zudem zu gewalttätigen Zusammenstössen zwischen Demonstranten und Sicherheitskräften. Trotzdem kann im heutigen Zeitpunkt in Kongo (Kinshasa) nach wie vor nicht generell von Krieg, Bürgerkrieg oder von einer Situation allgemeiner Gewalt gesprochen werden (Referenzurteil des BVGer E-731/2016 vom 20. Februar 2017 E. 7.3.3 f.). Was die individuellen Voraussetzungen betrifft, so kann nach geltender Praxis des Bundesverwaltungsgerichts die Rückkehr von Personen grundsätzlich als zumutbar bezeichnet werden, wenn der letzte Wohnsitz der betroffenen Person die Hauptstadt Kinshasa oder eine andere, über einen Flughafen verfügende Stadt im Westen des Landes war, oder wenn die Person in einer dieser Städte über ein gefestigtes Beziehungsnetz verfügt (Referenzurteil des BVGer, a.a.O., E. 7.3.3). Der Beschwerdeführer stammt aus Kinshasa und hat bis zu seiner Ausreise dort gelebt. Soweit er in der Beschwerde geltend macht, er sei psychisch beeinträchtigt, hat er dies, wie vorstehend dargetan, nicht näher belegt. Als demnach gesunder, junger und unverheirateter Mann ohne Kinder gehört er nicht zu jener Gruppe, für welche eine Rückkehr als unzumutbar zu erachten ist (oben genanntes Referenzurteil E. 7.3.4 f.). Auch leben zahlreiche nahe Verwandte und Bekannte aus seiner Schul- und Arbeitszeit ebenfalls in Kinshasa, auf deren Unterstützung er bei einer Rückkehr zurückgreifen kann. Sodann hat er die Schule mit (...) abgeschlossen und verfügt über Arbeitserfahrung als (...), mithin sollte es ihm möglich sein, eine Anstellung zu finden. Nach dem Gesagten erweist sich der Vollzug der Wegweisung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Mit dem vorliegenden Urteil ist der Antrag auf Verzicht auf die Erhebung eines Kostenvorschusses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