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E-5716/2014 vom 30. Oktober 2014</w:t>
      </w:r>
    </w:p>
    <w:p>
      <w:r>
        <w:t>Bundesverwaltungsgericht, 2014-10-30, DE</w:t>
      </w:r>
    </w:p>
    <w:p>
      <w:r>
        <w:rPr>
          <w:b/>
        </w:rPr>
        <w:t xml:space="preserve">Quelle: </w:t>
      </w:r>
      <w:r>
        <w:t>https://mcp.opencaselaw.ch/entscheid/bvger_E-5716_2014</w:t>
      </w:r>
    </w:p>
    <w:p>
      <w:r>
        <w:t>FR: TAF E-5716/2014 du 30 octobre 2014</w:t>
      </w:r>
    </w:p>
    <w:p>
      <w:r>
        <w:t>IT: TAF E-5716/2014 del 30 ottobre 2014</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Verfügungsadressaten zur Beschwerdeführung legitimiert (Art. 48 VwVG). Auf die frist- und formgenügend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richtet sich ausschliesslich gegen die Dispositivziffern 1 (Flüchtlingseigenschaft) und 2 (Asyl) der angefochtenen Verfügung; die übrigen Dispositivziffern sind nicht angefochten und bilden nicht Gegenstand des vorliegenden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Die Vorinstanz hält in der angefochtenen Verfügung fest, dass die Vorbringen der Beschwerdeführerinnen den Anforderungen an die Flüchtlingseigenschaft gemäss Art. 3 AsylG nicht standhielten. Was die Beschwerdeführerinnen in der Rechtsmitteleingabe dagegen einwenden, ist nicht geeignet, die Erwägungen der Vorinstanz umzustossen. So ist mit ihr einig zu gehen, dass die Verfolger einzig am Vater der Beschwerdeführerinnen interessiert waren. Die gegen die Familie ausgesprochenen Drohungen zielten auf eine Einschüchterung des Vaters, von welchem sich die Männer der Mujaheddin-Gruppe Informationen über bestimmte Dokumente und Waffenverstecke erhofft hatten. Nach dessen Tod ist nicht davon auszugehen, dass die übrigen Familienmitglieder für diese Personen noch von Interesse sind. Auch ist der Vorinstanz darin recht zu geben, dass die Beschwerdeführerinnen Jahre nach dem Ereignis von diesen Männern, welche sie vor deren Auftauchen im Elternhaus noch nie gesehen hatten, kaum noch identifiziert werden können. Die in diesem Zusammenhang in der Rechtsmitteleingabe sehr pauschal eingebrachten frauenspezifischen Fluchtgründe bleiben ohne jede Erläuterung. Ihre Relevanz ist im konkreten Fall nicht zu erkennen. Aus diesen Gründen ist eine begründete Furcht vor zukünftiger aslyrelevanter Verfolgung zu verneinen. Den Beschwerdeführerinnen gelingt es in der Rechtmitteleingabe nicht, das Gegenteil überzeugend darzutun. Was als Einwand zum korrekten vorinstanzlichen Hinweis auf die Schutzwillig- und Schutzfähigkeit der Sicherheitsbehörden in Herat vorgebracht wird, ist unverständlich und insofern auch nicht geeignet, diesen Hinweis zu entkräften.</w:t>
      </w:r>
    </w:p>
    <w:p>
      <w:r>
        <w:rPr>
          <w:b/>
        </w:rPr>
        <w:t>E. 4.2</w:t>
      </w:r>
    </w:p>
    <w:p>
      <w:r>
        <w:t>Zusammenfassend haben die Beschwerdeführerinnen in der Rechtsmitteleingabe nichts vorgebracht, was die vorinstanzliche Beweiswürdigung in einem anderen Licht erscheinen lassen müsste und geeignet wäre, die Flüchtlingseigenschaft nachzuweisen oder glaubhaft zu machen. Sie haben damit insbesondere nicht aufgezeigt, inwiefern die angefochtene Verfügung Bundesrecht verletzt oder sonst zu beanstanden wäre (Art. 106 Abs. 1 AsylG), weshalb die Vorinstanz das Asylgesuch zu Recht abgelehnt hat. Die Beschwerde ist folglich abzuweisen.</w:t>
      </w:r>
    </w:p>
    <w:p>
      <w:r>
        <w:rPr>
          <w:b/>
        </w:rPr>
        <w:t>E. 5</w:t>
      </w:r>
    </w:p>
    <w:p>
      <w:r>
        <w:t>Bei diesem Ausgang des Verfahrens sind die Kosten von Fr. 600.- (Art. 1 - 3 des Reglements vom 21. Februar 2008 über die Kosten und Entschädigungen vor dem Bundesverwaltungsgericht [VGKE], SR 173.320.2) den Beschwerdeführerinnen, je zu einem Drittel jeweils unter solidarischer Haftbarkeit für den Gesamtbetrag (Art. 6a VGKE),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