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E-5715/2006 vom 14. Dezember 2009</w:t>
      </w:r>
    </w:p>
    <w:p>
      <w:r>
        <w:t>Bundesverwaltungsgericht, 2009-12-14, DE</w:t>
      </w:r>
    </w:p>
    <w:p>
      <w:r>
        <w:rPr>
          <w:b/>
        </w:rPr>
        <w:t xml:space="preserve">Quelle: </w:t>
      </w:r>
      <w:r>
        <w:t>https://mcp.opencaselaw.ch/entscheid/bvger_E-5715_2006</w:t>
      </w:r>
    </w:p>
    <w:p>
      <w:r>
        <w:t>FR: TAF E-5715/2006 du 14 décembre 2009</w:t>
      </w:r>
    </w:p>
    <w:p>
      <w:r>
        <w:t>IT: TAF E-5715/2006 del 14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hinsichtlich des geltend gemachten Alters (...) sei festzustellen, dass die Knochenaltersanalyse ein Alter von (...) Jahren oder älter ergebe und der Beschwerdeführer anlässlich der Gewährung des rechtlichen Gehörs selber darauf hingewiesen habe, er kenne sein Geburtsjahr nicht und sein angegebenes Alter entspreche möglicherweise nicht den Tatsachen. Zudem habe er bei der Kurzbefragung (22. November 2005) keine Angaben zum Alter seiner Eltern machen können und zunächst erklärt, im Alter von (...) Jahren einen Nationalitätenausweis erhalten zu haben, dies sei vor ungefähr zwei oder drei Jahren gewesen. Später habe er sich korrigiert und ausgesagt, der Nationalitätenausweis sei vor weniger als zwei Jahren ausgestellt worden. Des Weiteren habe er ein sudanesi-sches Identitätspapier eingereicht, gemäss welchem er am (...) geboren sei. Das Bundesamt gehe deshalb von seiner Volljährigkeit aus. Es sei darauf hinzuweisen, dass das eingereichte Identitätspapier nicht den im Sudan ausgestellten (authentischen, Anm. BVGer) Ausweispapieren entspreche. Des Weiteren sei allgemein bekannt, dass solche Dokumente im Heimatstaat des Beschwerdeführers ohne weiteres unrechtmässig erworben werden könnten, weshalb ihr Beweiswert als äusserst gering einzustufen sei. Aufgrund der LINGUA-Analyse vom 16. Juni 2006 sei einerseits er-stellt, dass der Beschwerdeführer mit Sicherheit in Darfur (Sudan) so-zialisiert worden sei; das Bundesamt gehe deshalb davon aus, dass er sudanesischer Staatsangehöriger sei. Anderseits sei die Feststellung der Identität eine unabdingbare und zentrale Voraussetzung für die Ab-klärung von Asylvorbringen. Vorliegend sei festzuhalten, dass der Be-schwerdeführer den schweizerischen Asylbehörden weder eine Identi-tätskarte noch einen Reisepass oder andere Dokumente übergeben habe, welche seine Aussagen bestätigen könnten; seine Identität, die effektiven Reisedaten und die tatsächliche Reiseroute stünden somit nicht fest. Beim nachträglich eingereichten Identitätsausweis handle es sich nicht um eine Identitätskarte. Des Weiteren habe der Beschwer-deführer im Empfangszentrum erklärt, im Alter von (...) Jahren einen Nationalitätenausweis erhalten zu haben. Laut eingereichtem Identi-tätsdokument wäre er indessen zum Ausstellungszeitpunkt dieses Ausweises knapp (...) Jahre alt gewesen. Vor diesem Hintergrund er-staune, dass er sein tatsächliches Alter nicht gewusst habe. Zudem stelle sich angesichts seiner Aussage bei der Kurzbefragung, er habe lediglich einen Ausweis gehabt, den er zu Hause gelassen habe, die Frage, wie er in den Besitz dieses Ausweises gelangt sei. Angesichts dieser Sachlage ergäben sich erste Zweifel an der Glaubhaftigkeit des Beschwerdeführers und am Wahrheitsgehalt seiner Asylvorbringen. Die Ausführungen des Beschwerdeführers zu den angeblich erlebten Ereignissen im Jahr (...) seien oberflächlich und pauschal geblieben. Insbesondere seien die Vorbringen zu den geltend gemachten Übergriffen, zu seiner Flucht und zu seiner Ausreise konstruiert und unglaubhaft ausgefallen. Es fehlten konkrete Ausführungen und genauere Beschreibungen der angeblich erlittenen Vorfälle, seine Aussagen enthielten keine Realkennzeichen und seien durchwegs wenig substanziiert geblieben. Die angeführten Übergriffe seien von ihm ohne Detailkenntnisse geschildert worden. In Würdigung der gesamten Umstände könne davon ausgegangen werden, dass der Beschwerdeführer zwar in Darfur sozialisiert worden sei, aber die geltend gemachten Übergriffe nicht selber erlebt habe. Seine einfachen und allgemein gehaltenen Schilderungen liessen eine subjektiv geprägte Wahrnehmung vermissen, weshalb seine Vorbringen offensichtlich unglaubhaft seien. Insbesondere fehlten seinen Aussagen die vertiefende Substanz und eine authentische sowie ausgeprägte Nacherzählung, weshalb ausgeschlossen werden könne, dass er seine Verfolgungsvorbringen tatsächlich erlebt habe. Es erübrige sich deshalb, auf weitere Ungereimtheiten in den Ausführungen des Beschwerdeführers einzugehen. Die Asylrelevanz seiner Vorbringen müsse nicht geprüft werden, da sie den Anforderungen von Art. 7 AsylG an die Glaubhaftigkeit nicht standzuhalten vermöchten. Die Folge der Ablehnung eines Asylgesuchs sei in der Regel die Wegweisung aus der Schweiz. Der Wegweisungsvollzug sei zulässig, zumutbar und möglich. Eine Rückführung abgewiesener asylsuchender Personen nach Darfur sei zum gegenwärtigen Zeitpunkt nicht zumutbar. Angesichts der im Sudan bestehenden Niederlassungsfreiheit sei es für den Beschwerdeführer möglich und zumutbar, sich im Sinne einer Wohnsitzalternative in einem anderen Landesteil, zum Beispiel in Karthum, wo keine Situation allgemeiner Gewalt herrsche, niederzu-lassen. In individueller Hinsicht sei festzustellen, dass der Beschwer-deführe jung und gesund sei. Er stehe offensichtlich in Kontakt mit sei-nen Familienangehörigen, zumal es ihm gelungen sei, nachträglich ein Identitätspapier zu beschaffen. Zudem verfüge er in (...) über Verwandte, welche ihm bereits bei der Ausreise behilflich gewesen seien.</w:t>
      </w:r>
    </w:p>
    <w:p>
      <w:r>
        <w:rPr>
          <w:b/>
        </w:rPr>
        <w:t>E. 4.2</w:t>
      </w:r>
    </w:p>
    <w:p>
      <w:r>
        <w:t>In der Rechtsmitteleingabe wird unter Verweis auf die mündlichen Aussagen zur Begründung des Asylgesuchs entgegnet, die Argumentation des BFM in der angefochtenen Verfügung, die Ausführungen des Beschwerdeführers zu den angeblich persönlich erlittenen Übergriffen, zu seiner Flucht und zu seiner Ausreise seien konstruiert, oberflächlich und ohne Realkennzeichen, sei lediglich eine Behauptung und in letzter Konsequenz nichts anderes als eine subjektive Empfindung der mit dem Fall befassten Mitarbeiter der Vorinstanz. Die Angaben des Beschwerdeführers zum Überfall auf sein Dorf durch sudanesische Truppen und Milizen der Janjaweed seien präzis formu-liert und enthielten die notwendigen Informationen zum Ausreisegrund. Gänzlich unverständlich sei die Erwägung, seine Ausführungen liessen minimale Detailkenntnisse beziehungsweise einen persönlichen Realitätsbezug vermissen. Das Studium der Akten führe zu einer gegenteiligen Schlussfolgerung, zumal es die befragende Person unterlassen habe, vom Beschwerdeführer mehr Informationen beziehungsweise zusätzliche Details zu verlangen, welcher Umstand ihm nicht zum Nachteil gereichen dürfe. Bei dem zu den Akten gereichten Ausweispapier handle es sich um ein Identitätspapier, das im Sudan seit (...) oder (...) ausgestellt werde. Der Ausweis sei am (...) in (...), der Hauptstadt von (...), ausgestellt worden, womit die Identität des Beschwerdeführers entgegen den diesbezüglichen Ausführungen der Vorinstanz feststehe. Der Beschwerdeführer erfülle die Anforderungen an die Flüchtlingseigenschaft; eine innerstaatliche Fluchtalternative sei gemäss Auskunft der Schweizer Sektion von amnesty international zu verneinen, und eine Rückschaffung könne gegen das Prinzip des flüchtlingsrechtlichen Non-Refoulements verstossen. Das UNHCR bestätige, dass aufgrund der Gefährdungslage im gesamten Sudan keine inländische Fluchtalternative existiere und empfehle ausdrücklich die Zuerkennung der Flüchtlingseigenschaft beziehungsweise des subsidiären Schutzes für asylsuchende Personen aus Darfur. Eventualiter sei deshalb die Unzulässigkeit respektive mangels Aufenthaltsalternative die Unzumutbarkeit des Wegweisungsvollzugs festzustellen und die vorläufige Aufnahme anzuordnen.</w:t>
      </w:r>
    </w:p>
    <w:p>
      <w:r>
        <w:rPr>
          <w:b/>
        </w:rPr>
        <w:t>E. 5.1</w:t>
      </w:r>
    </w:p>
    <w:p>
      <w:r>
        <w:t>Bei der Beurteilung der Frage, ob die Vorbringen glaubhaft ge-macht sind,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Das Bundesverwaltungsgericht gelangt vorliegend zum Schluss, dass die Ausführungen des Beschwerdeführers zu den von ihm geltend gemachten Nachstellungen durch sudanesische Sicherheitskräfte sowie Janjaweed-Milizen den Anforderungen an die Glaubhaftigkeit insgesamt zu genügen vermögen. Für die Glaubhaftigkeit des Beschwerdeführers spricht vorab, dass die LINGUA-Analyse ergab, dass der Beschwerdeführer mit Sicherheit in Darfur (Sudan) sozialisiert wurde. Zudem erklärte er bei der Kurzbefra-gung im Rahmen des rechtlichen Gehörs zum Ergebnis der Knochen-altersanalyse und bei der Anhörung zu seinen Asylgründen wahrheits-gemäss, er wisse sein Geburtsjahr nicht, sein angegebenes Alter ent-spreche möglicherweise nicht den Tatsachen (Akten BFM A1/11 S. 7 und 8) respektive Kinder würden im Sudan nicht sofort registriert, sei-ne Mutter und andere Frauen hätten ihm erzählt, er werde bald (...) Jahre alt, er wisse aber nicht, ob dies den Tatsachen entspreche (A12/21 S. 3). Hinzu kommt, dass der Beschwerdeführer seiner ihm obliegenden Mitwirkungspflicht nachgekommen ist und aufforderungs-gemäss einen Nationalitätenausweis zu den Akten gereicht hat. Auch wenn einerseits der Vorinstanz beizupflichten ist, dass solche Aus-weispapiere im Sudan leicht käuflich erworben werden können und demzufolge deren Beweiswert als gering einzustufen ist, erscheint an-derseits in Anlehnung an die diesbezüglichen Ausführungen in der Rechtsmitteleingabe plausibel, dass es sich beim eingereichten Doku-ment um einen authentischen Nationalitätenausweis der neueren Ka-tegorie handelt. Des Weiteren kann entgegen den diesbezüglichen Ausführungen in der angefochtenen Verfügung nicht ausgeschlossen werden, dass es sich beim eingereichten Nationalitätenausweis tat-sächlich um das vom Beschwerdeführer bei der Kurzbefragung er-wähnte, von ihm zurückgelassene Dokument handelt (A1/11 S. 5). Das BFM führt denn auch in seinen Erwägungen zur Zumutbarkeit des Wegweisungsvollzugs selber aus, der junge und gesunde Beschwer-deführer stehe offensichtlich in Kontakt mit seinen Familienangehöri-gen, weil es ihm gelungen sei, nachträglich ein Identitätspapier einzu-reichen. Die Argumentation der Vorinstanz, die Aussagen des Beschwerdeführers zu den geltend gemachten Übergriffen seien wenig differenziert und ausführlich ausgefallen, ist insofern zu relativieren, als der Beschwerdeführer aus einem ländlichen Milieu stammt und über eine bescheidene Ausbildung verfügt. Hinzu kommt, dass er bei der Anhö-rung zu seinen Asylgründen auf entsprechende Fragen des Bundes-amtes durchaus in der Lage war, beispielsweise die Namen der (...) Mitgefangenen spontan zu nennen (A12/21 S. 14) oder die Handha-bung der (...) zu erklären (A12/21 S. 10). Seine gesuchsbe-gründenden Vorbringen sind in sich schlüssig und enthalten keine Un-gereimtheiten von entscheidwesentlicher Bedeutung. Für die Glaub-haftigkeit seiner Aussagen spricht auch, dass die geschilderten Über-griffe mit den Erkenntnissen des Gerichts über die Vorgehensweise der Janjaweed-Milizen sowie der sudanesischen Sicherheitskräfte ver-einbar sind. Des Weiteren erscheint auch nicht abwegig, dass dem Beschwerdeführer mit der Hilfe eines von seinem Vater engagierten und bezahlten (...) die Flucht aus dem Gefängnis gelungen ist. Die Vorbringen des Beschwerdeführers erscheinen unter diesen Um-ständen insgesamt als angemessen, hinreichend ausführlich und de-tailreich.</w:t>
      </w:r>
    </w:p>
    <w:p>
      <w:r>
        <w:rPr>
          <w:b/>
        </w:rPr>
        <w:t>E. 5.3</w:t>
      </w:r>
    </w:p>
    <w:p>
      <w:r>
        <w:t>Im Folgenden ist zu prüfen, ob der Beschwerdeführer aufgrund der erlittenen Verfolgungshandlungen auch aktuell eine begründete Furcht vor künftiger Verfolgung geltend machen kann.</w:t>
      </w:r>
    </w:p>
    <w:p>
      <w:r>
        <w:rPr>
          <w:b/>
        </w:rPr>
        <w:t>E. 6.1</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in Art. 3 Abs. 1 AsylG aufgezählter Verfolgungsmotive zugefügt worden sind beziehungsweise zugefügt zu werden drohen, und gegen welche sie die Organe des Heimat- oder Herkunftsstaates nicht schützen wollen oder können.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(EMARK 2005 Nr. 21 E. 7.1. S. 193 mit weiteren Hinweisen).</w:t>
      </w:r>
    </w:p>
    <w:p>
      <w:r>
        <w:rPr>
          <w:b/>
        </w:rPr>
        <w:t>E. 6.2.1</w:t>
      </w:r>
    </w:p>
    <w:p>
      <w:r>
        <w:t>In Darfur ergibt sich gestützt auf die noch von der ARK vorgenommene Lageanalyse (EMARK 2006 Nr. 25 E. 5 S. 267 ff.) zusammengefasst folgendes Bild: Die zunehmende Dürre in der Region Darfur führte seit den 80er-Jahren des letzten Jahrhunderts zu vermehrten Konflikten um Wasser und Weideflächen zwischen den Landbesitzern und landlosen Nomaden. Die bestehenden ethnischen Spannungen machten sich dabei zunächst nur hintergründig bemerkbar. Nach und nach weitete sich der Konflikt jedoch aus, was unkontrolliertes Banditentum, extreme Gewalt und Menschenrechtsverletzungen zur Folge hatte. Dabei trat die ethnische Komponente immer stärker zutage. Bereits in den Jahren ab 1980 begann die sudanesische Regierung, arabischstämmige Nomaden in Darfur mit Waffen zu beliefern, um so ihrem Ziel, die Region zu arabisieren und zu islamisieren, zum Durchbruch zu verhelfen. Im Jahr 1987 schlossen sich 27 arabische Nomadengruppen zu einer "Arabischen Allianz" zusammen und erklär-ten nichtarabischen Gruppen den Krieg. In der Folge formierten sich mehrere Oppositionsbewegungen, welche sich gegen die Marginalisierungspolitik der Zentralregierung in Khartoum wandten. Diese Rebellengruppen setzten sich mehrheitlich aus Angehörigen nichtarabischstämmiger Volksgruppen zusammen. Als Antwort auf die zunehmende Gewaltbereitschaft, welche auch die Aufständischen an den Tag legten, insbesondere den Angriff auf militärische Einrichtungen in Norddarfur im April 2003, begann die Regierung in der Folge, arabischstämmige Milizen (sogenannte Janjaweed) zu unterstützen. Diese gingen von da an mit Billigung und Unterstützung der Regierung massiv gegen Angehörige nichtarabischstämmiger Ethnien vor. Es kam zu Massenvertreibungen, Tötungen, Brandschatzungen, Zerstörung von Dörfern, Vergewaltigungen, Folter, Verschleppungen und weiteren Verbrechen. Bis heute gehen sowohl die Kämpfe zwischen den Konfliktparteien als auch die Ausschreitungen gegen die Zivilbevölkerung weiter, obwohl am 5. Mai 2006 ein Friedensabkommen unterzeichnet wurde und inzwischen die UNAMID (African Union/United Nations Hybrid Operation in Darfur) in Darfur stationiert ist, welche insbesondere zum Ziel hat, dem Friedensabkommen zur Durchsetzung zu verhelfen und die Zivilbevölkerung vor Übergriffen zu schützen (Resolution 1769 des UN-Sicherheitsrates vom 31. Juli 2007).</w:t>
      </w:r>
    </w:p>
    <w:p>
      <w:r>
        <w:rPr>
          <w:b/>
        </w:rPr>
        <w:t>E. 6.2.2</w:t>
      </w:r>
    </w:p>
    <w:p>
      <w:r>
        <w:t>Der Beschwerdeführer stammt aus Darfur und gehört einer nichtarabischen Ethnie an. Er konnte glaubhaft dartun, dass er infolge seiner ethnischen Zugehörigkeit gezielt Opfer eines massiven Übergriffs durch sudanesische Sicherheitskräfte und Milizen der Janjaweed geworden ist. Angesichts der Situation in Darfur muss der erlebte Übergriff als ernsthafter Nachteil im Sinne des Asylgesetzes qualifiziert werden, diente doch die von sudanesischen Sicherheitskräften ausgeübte Gewalt wie oben dargelegt der ethnischen Säuberung der Region. Der Beschwerdeführer verliess den Sudan unmittelbar nach seiner Flucht aus dem Gefängnis und reiste nach (...) weiter; ein Unterbruch des Kausalzusammenhangs zwischen Verfolgung und Flucht liegt folglich nicht vor. Der Beschwerdeführer erfüllte somit im Zeitpunkt der Ausreise die Flüchtlingseigenschaft.</w:t>
      </w:r>
    </w:p>
    <w:p>
      <w:r>
        <w:rPr>
          <w:b/>
        </w:rPr>
        <w:t>E. 6.2.3</w:t>
      </w:r>
    </w:p>
    <w:p>
      <w:r>
        <w:t>Die allgemeine Lage in Darfur hat sich seit der Ausreise des Beschwerdeführers im (...) nicht verbessert. Nach wie vor kommt es regelmässig zu Kämpfen zwischen den Konfliktparteien, und auch die ethnisch motivierten Übergriffe auf die Zivilbevölkerung halten an. Angesichts der bereits erlittenen Vorverfolgung und der unveränderten Sicherheitslage in Darfur erscheint die Furcht des Beschwerdeführers realistisch und nachvollziehbar, bei einer Rückkehr in seine Heimatregion Darfur erneut ins Visier der Janjaweed respektive der sudanesischen Sicherheitskräfte zu geraten, zumal seine ethnische Zugehörigkeit aufgrund seines Erscheinungsbildes leicht erkennbar ist. Die zu befürchtende Verfolgung ist als ernsthafter Nachteil im Sinne von Art. 3 Abs. 2 AsylG zu qualifizieren. Die absehbare Verfolgung kann auch als individuell respektive gezielt bezeichnet werden; der Beschwerdeführer muss nicht lediglich befürchten, ein zufälliges Opfer allgemeiner Bürgerkriegswirren zu werden, sondern er muss damit rechnen, durch die sudanesischen Behörden respektive Milizen wegen seiner afrikanischen Ethnie individuell verfolgt zu werden (EMARK 1998 Nr. 17 E. 4.c.bb S. 153).</w:t>
      </w:r>
    </w:p>
    <w:p>
      <w:r>
        <w:rPr>
          <w:b/>
        </w:rPr>
        <w:t>E. 6.2.4</w:t>
      </w:r>
    </w:p>
    <w:p>
      <w:r>
        <w:t>Des Weiteren kann zur Zeit nicht von einer bestehenden Flucht-alternative innerhalb des Sudans ausgegangen werden. Gemäss Rechtsprechung (EMARK 1996 Nr. 1) müsste der Beschwerdeführer am Zufluchtsort Schutz finden können, an dessen Effektivität hohe Anforderungen zu stellen sind. Angesichts der Tatsache, dass die Gewalt und die Menschenrechtsverletzungen in Darfur durch staatliche Streitkräfte respektive durch die von der Zentralregierung unterstützten Janjaweed-Milizen ausgeübt werden, ist nicht davon auszugehen, dass der Beschwerdeführer an einem Ort innerhalb der Landesgrenzen Sudans vor Verfolgung sicher wäre. Gemäss UNHCR leben allein in der Hauptstadt Khartoum ungefähr zwei Millionen Binnenflüchtlinge - davon etwa 10-15 Prozent aus Darfur - in Lagern und Siedlungen in der Stadt und deren Umgebung verteilt. Diese seien täglich Belästigungen und Gewalttaten von Seiten der Behörden ausgesetzt. Flüchtlinge aus Darfur würden aus Lagern vertrieben und zurück nach Darfur deportiert; die Gefährdung und Bedrohung sei dermassen verbreitet, dass nicht von einer innerstaatlichen Fluchtalternative ausgegangen werden könne (EMARK 2006 Nr. 25 E. 8.3 S. 278 f. mit weiteren Hinweisen). Es erscheint unrealistisch, dass der Beschwerdeführer bei den sudanesischen Behörden Schutz vor Verfolgung durch die Milizen finden würde. Vorliegend gibt es demnach hinreichende Anhaltspunkte für eine konkrete Bedrohung des Beschwerdeführers, welche auch bei anderen Menschen in vergleichbarer Situation Furcht vor Verfolgung hervorrufen würde. Da diese subjektive Furcht mit Blick auf die vorstehenden Erwägungen zudem auch objektivierbar ist, kann dem Beschwerdeführer eine begründete Furcht vor zukünftiger asylrelevanter Verfolgung zuerkannt werden (Urteil des Bundesverwaltungsgerichts E-5638/2006 vom 27. Mai 2009, EMARK 2004 Nr. 1 S. 9 f., mit weiteren Hinweisen).</w:t>
      </w:r>
    </w:p>
    <w:p>
      <w:r>
        <w:rPr>
          <w:b/>
        </w:rPr>
        <w:t>E. 6.3</w:t>
      </w:r>
    </w:p>
    <w:p>
      <w:r>
        <w:t>Angesichts dieser Sachlage erfüllt der Beschwerdeführer die Anforderungen an die Flüchtlingseigenschaft. Seine Verurteilungen (vgl. Ziff. 7.2.1 nachstehend) sind ausschliesslich auf gemeinrechtliche Straftaten zurückzuführen, die er während seines Aufenthaltes in der Schweiz verübt hat. Aus diesem Grund liegt von vornherein, das heisst unabhängig vom Aspekt der Deliktsschwere, keine gemeinrechtliche Straftat im Sinne von Art. 1 F Bst. b des Abkommens vom 28. Juli 1951 über die Rechtsstellung der Flüchtlinge (FK, SR 0.142.30) vor (vgl. UNHCR-Handbuch über Verfahren und Kriterien zur Feststellung der Flüchtlingseigenschaft, nicht-amtliche deutsche Übersetzung, Genf September 1979, Neuauflage vom Dezember 2003, Abs. 153 und 154; WALTER KÄLIN, Grundriss des Asylverfahrens, Basel/Frankfurt a. M., 1990, S. 181). Eine Nichtanwendung der FK auf den Beschwerdeführer und - im Ergebnis damit verbunden - ein Ausschluss von der Anerkennung als Flüchtling gestützt auf Art. 1 F Bst. b FK fällt somit nicht in Betracht (zur Auslegung von Art. 3 AsylG im Lichte des konventionsrechtlichen Flüchtlingsbegriffs von Art. 1 A Ziff. 2 FK vgl. VGE 2008/34 E. 5.1 S. 499; zur unmittelbaren Anwendbarkeit der Ausschlussklau-seln von Art. 1 D, 1 E und 1 F FK vgl. BVGE 2008/34 E. 5.2 S. 500). Zu prüfen bleibt, ob sich der Beschwerdeführer aufgrund seines strafbaren Verhaltens in der Schweiz als asylunwürdig erweist.</w:t>
      </w:r>
    </w:p>
    <w:p>
      <w:r>
        <w:rPr>
          <w:b/>
        </w:rPr>
        <w:t>E. 7.1</w:t>
      </w:r>
    </w:p>
    <w:p>
      <w:r>
        <w:t>Gemäss Art. 53 AsylG wird Flüchtlingen kein Asyl gewährt, wenn sie wegen verwerflicher Handlungen dessen unwürdig sind oder wenn sie die innere oder die äussere Sicherheit der Schweiz verletzt haben oder gefährden. In Berücksichtigung der bisherigen Praxis der ARK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Art. 9 Abs. 1 des Schweizerischen Strafgesetzbuches vom 21. Dezember 1937 (StGB, SR 311.0), in dessen bis zum 31. Dezember 2006 gül-tiger Fassung entsprechen. Als Verbrechen definiert wurde dort jede mit Zuchthaus bedrohte Straftat. Am 1. Januar 2007 trat mit der Ge-setzesänderung gemäss Ziff. 1 des Bundesgesetzes vom 13. Dezem-ber 2002 der neue Allgemeine Teil des Strafgesetzbuches in Kraft (vgl. AS 2006 3459; BBl 1999 1979). Gemäss Art. 10 StGB sind Verbrechen jene Taten, die mit Freiheitsstrafe von mehr als drei Jahren bedroht sind (Abs. 2). Als Vergehen werden demgegenüber Taten bezeichnet, welche mit Freiheitsstrafe bis zu drei Jahren oder mit Geldstrafe be-droht sind (Abs. 3). Die Unterscheidung zwischen Zuchthaus- und Ge-fängnisstrafe wurde aufgegeben. Unter Hinweis auf Art. 333 Abs. 2 Bst. a StGB scheint auch denkbar, dass eine mit weniger als drei Jahren Freiheitsstrafe bedrohte Straftat als "verwerfliche Handlung" gewertet und zum Asylausschluss führen könnte; diese Frage kann indessen im vorliegenden Fall offengelassen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(EMARK 2002 Nr. 9 E. 7b S. 79 f.).</w:t>
      </w:r>
    </w:p>
    <w:p>
      <w:r>
        <w:rPr>
          <w:b/>
        </w:rPr>
        <w:t>E. 7.2.1</w:t>
      </w:r>
    </w:p>
    <w:p>
      <w:r>
        <w:t>Vorliegend ergibt sich aus den Akten, dass der Beschwerdeführer vom (...) mit Strafmandat vom (...) des geringfügigen Diebstahls gemäss Art. 139 Ziff. 1 StGB in Verbindung mit Art. 172ter Abs. 1 StGB schuldig gesprochen und mit einer Busse von Fr. 100.- bestraft wurde. Ebenfalls mit Strafmandat des (...) vom (...) wurde der Beschwerdeführer der Widerhandlung gegen Art. 19 Ziff. 1 des Betäubungsmittelgesetzes vom 3. Oktober 1951 (BetmG, SR 812.121) und des Raufhandels gemäss Art. 133 Abs. 1 StGB schuldig gesprochen. Für diese Vergehen wurde er mit einer Geldstrafe von Fr. 400.- und einer Busse von Fr. 400.- bestraft. Der Vollzug der Geldstrafe wurde aufgeschoben mit einer Probezeit von 2 Jahren. Mit am 2. Oktober 2008 in Rechtskraft erwachsenem Urteil des (...) vom (...) wurde der Beschwerdeführer der Widerhandlung gegen Art. 19 Ziff. 2 BetmG (Verbrechen, schwerer Fall), der mehrfachen Widerhandlung gegen Art. 23a des am 1. Januar 2008 aufgehobenen und durch das Bundesgesetz vom 16. Dezember 2005 über die Ausländerinnen und Ausländer (AuG, SR 142.20) ersetzte Bundesgesetz vom 26. März 1931 über Aufenthalt und Niederlassung der Aus-länder (ANAG, BS 1 121), der mehrfachen Widerhandlung gegen Art. 119 Abs. 1 AuG und der Pornographie gemäss Art. 197 Ziff. 3bis StGB schuldig gesprochen. Dafür wurde er, teilweise als Zusatzstrafe zum Strafmandat des (...) vom (...), mit einer Freiheitsstrafe von 18 Monaten bestraft. Der Vollzug von 12 Monaten wurde unter Ansetzung einer Probezeit von 3 Jahren aufgeschoben. Auf einen Widerruf der mit Strafmandat des(...) vom (...) bedingt ausgesprochenen Geldstrafe von Fr. 400.- wurde verzichtet.</w:t>
      </w:r>
    </w:p>
    <w:p>
      <w:r>
        <w:rPr>
          <w:b/>
        </w:rPr>
        <w:t>E. 7.2.2</w:t>
      </w:r>
    </w:p>
    <w:p>
      <w:r>
        <w:t>Aus den Urteilserwägungen des (...) vom (...) ergibt sich, dass das Verschulden des Beschwerdeführers in Bezug auf den Handel mit Kokain schwer wiegt. Er hat von (...) bis (...) über einen Zeitraum von achtzehn Monaten rund 87,2 Gramm Kokain beziehungsweise 24,2 Gramm reines Kokain an verschiedene Abnehmer verkauft. Damit hat er mit einer Menge Kokain gehandelt, welche die für einen schweren Fall erforderliche Mindestmenge klar übersteigt. Er hat die Gefährdung einer Vielzahl von Menschen in Kauf genommen und die Drogendelikte nicht wegen eines suchtbedingten Beschaffungsdrucks, sondern allein aus geldwerten und somit egoistischen Motiven ausgeübt. Strafmilde-rungsgründe liegen nicht vor. Straferhöhend legte das (...) dem Beschwerdeführer zur Last, dass er im Schweizerischen Zentralstrafregister mit einer Eintragung verzeichnet und einschlägig vorbestraft war, zumal er bereits einmal wegen eines Vergehens gegen das Betäubungsmittelgesetz verurteilt worden war. Es steht somit fest, dass der Beschwerdeführer mit dem Handel von Kokain eine als Verbrechen definierte Straftat begangen hat, welche als verwerflich im Sinne von Art. 53 AsylG zu qualifizieren ist (EMARK 1998 Nr. 28 und 2002 Nr. 9). Im Übrigen ist nebst seiner Verurteilung wegen Porno-graphie gemäss Art. 197 Ziff. 3bis StGB aufgrund der Erwägungen im Strafurteil hinsichtlich der mehrfachen Widerhandlung gegen Art. 23a ANAG und Art. 119 Abs. 1 AuG in der Zeit nach seiner Verurteilung durch den (...) vom (...) festzustellen, dass sich in der Häufigkeit dieser Taten eine erhebliche kriminelle Energie offenbart. Er hat sich nicht von weiteren Straftaten abhalten lassen, woraus zu schliessen ist, dass der Beschwerdeführer nicht gewillt ist, die schweizerische Rechtsordnung zu beachten.</w:t>
      </w:r>
    </w:p>
    <w:p>
      <w:r>
        <w:rPr>
          <w:b/>
        </w:rPr>
        <w:t>E. 7.2.3</w:t>
      </w:r>
    </w:p>
    <w:p>
      <w:r>
        <w:t>Mit der Feststellung des Asylausschlussgrundes der Asylunwür-digkeit (wegen Begehens einer verwerflichen Handlung) sind vorlie-gend für den Beschwerdeführer noch nicht derart unzumutbare Nach-teile verbunden, dass dadurch der Grundsatz der Verhältnismässigkeit des Eingriffs in seine Rechtsgüter verletzt würde. Die in der Eingabe vom 5. Dezember 2008 im Rahmen des rechtlichen Gehörs erfolgten Ausführungen der Rechtsvertretung zur allfälligen Anwendung von Art. 83 Abs. 7 AuG sind zufolge Feststellung der Flüchtlingseigen-schaft des Beschwerdeführers hinfällig geworden. Der Verweis auf die persönliche Situation des Beschwerdeführers in der Schweiz ist nicht geeignet, an den vorstehenden Erwägungen, namentlich an der Ein-schätzung des Verkaufs von Kokain als verwerfliche Handlung und des schwerwiegenden Verschuldens, etwas zu ändern. Sodann ist festzu-stellen, dass der Asylausschlussgrund von Art. 53 AsylG keine Auswir-kungen auf die dem Beschwerdeführer zuerkannte Flüchtlingseigen-schaft hat und sich für ihn nicht unmittelbar und konkret nachteilig aus-wirkt (vgl. nachstehend Ziff. 9.3). Insbesondere kann er sich weiterhin in der Schweiz aufhalten und einer geregelten Erwerbstätigkeit nach-gehen.</w:t>
      </w:r>
    </w:p>
    <w:p>
      <w:r>
        <w:rPr>
          <w:b/>
        </w:rPr>
        <w:t>E. 8</w:t>
      </w:r>
    </w:p>
    <w:p>
      <w:r>
        <w:t>Zusammenfassend ist festzustellen, dass der Beschwerdeführer die Flüchtlingseigenschaft erfüllt. Es ist ihm indessen kein Asyl zu gewähren, weil er durch seine strafbaren Handlungen in der Schweiz den Asylausschlussgrund von Art. 53 AsylG verwirklicht hat. Eine Auseinandersetzung mit den weiteren Beschwerdevorbringen erübrigt sich, da diese nicht geeignet sind, eine andere Beurteilung herbeizuführen.</w:t>
      </w:r>
    </w:p>
    <w:p>
      <w:r>
        <w:rPr>
          <w:b/>
        </w:rPr>
        <w:t>E. 9.1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9.2</w:t>
      </w:r>
    </w:p>
    <w:p>
      <w:r>
        <w:t>Der Beschwerdeführer verfügt weder über eine fremdenpolizeiliche Aufenthaltsbewilligung, noch hat er im Zeitpunkt der Urteilsfällung - Abklärungen haben ergeben, dass das Ehevorbereitungs- und Vaterschaftsanerkennungsverfahren vor dem (...) nach wie vor hängig respektive sistiert ist - Anspruch auf Erteilung einer solchen. Die Wegweisung wurde demnach zu Recht angeordnet (Art. 44 Abs. 1 AsylG; EMARK 2001 Nr. 21). Dem Beschwerdeführer bleibt es unbenommen, sich nach erfolgter Eheschliessung und Anerkennung seiner Vaterschaft mit einem Gesuch um Erteilung einer Aufenthaltsbewilligung an die zuständige kantonale Behörde zu wenden.</w:t>
      </w:r>
    </w:p>
    <w:p>
      <w:r>
        <w:rPr>
          <w:b/>
        </w:rPr>
        <w:t>E. 9.3</w:t>
      </w:r>
    </w:p>
    <w:p>
      <w:r>
        <w:t>Was den Wegweisungsvollzug betrifft, so hat die Vorinstanz in ihrer angefochtenen Verfügung zutreffend darauf hingewiesen, dass der Grundsatz des Non-Refoulement jene Personen schützt, welche die Flüchtlingseigenschaft erfüllen (Mario Gattiker, Das Asyl- und Wegweisungsverfahren, Bern 1999, S. 89). Nachdem es dem Beschwerdeführer auf Rechtsmittelebene gelungen ist, eine flüchtlingsrechtlich erhebliche Gefährdung im Sinne von Art. 3 AsylG und Art. 1 A Ziff. 2 FK nachzuweisen beziehungsweise glaubhaft zu machen, findet das in Art. 5 AsylG und Art. 33 FK verankerte Prinzip des flüchtlingsrechtlichen Non-Refoulements Anwendung. Die restriktiven Voraussetzungen (Kälin, a.a.O., S. 231) von Art. 33 Abs. 2 FK (Art. 5 Abs. 2 AsylG bildet das landesrechtliche Korrelat dieser Bestimmung) für eine Nichtanwendung des Refoulement-Verbots sind vorliegend trotz des wiederholt deliktischen Verhaltens des Beschwerdeführers nicht erfüllt. Zu bedenken ist vorab, dass das Refoulement-Verbot ein fundamentales Prinzip der Flüchtlingskonvention darstellt, gegenüber welchem die Vertragsstaaten keine Vorbehalte anbringen dürfen (Art. 42 Abs. 1 FK). Die Schweiz hat ihrerseits in Art. 25 Abs. 2 der Bundesverfassung der Schweizerischen Eidgenossenschaft vom 18. April 1999 (BV, SR 101) auf Verfassungsstufe statuiert, dass Flüchtlinge nicht in einen Staat ausgeschafft oder ausgeliefert werden dürfen, in dem sie verfolgt werden. Die Rückschiebung in einen Verfolgerstaat ist insofern als Massnahme "ultima ratio" zu begreifen und muss auf extreme Ausnahmefälle beschränkt bleiben (vgl. Kälin, a.a.O., S. 228). Das (...) führte in seinem Urteil vom (...) in Bezug auf das zukünftige Verhalten des Beschwerdeführers aus, es ergäben sich zwar erhebliche Bedenken an seiner Legalbewährung. Der Beschwerde-führer sei im Schweizerischen Zentralstrafregister mit einer Eintragung verzeichnet und einschlägig vorbestraft, zumal er bereits einmal wegen eines Vergehens gegen das Betäubungsmittelgesetz verurteilt worden sei. Zudem habe er während laufender Strafuntersuchung mehrfach weiter delinquiert und damit gezeigt, dass er sich durch blosse Warnstrafen nicht genügend beeindrucken lasse. Eine Gesamt-würdigung der Umstände vermöge jedoch eine eigentliche Schlecht-prognose noch nicht zu begründen. So habe er seit einiger Zeit eine Freundin, mit welcher er ein gemeinsames Kind habe. Neben dieser Beziehung sei auch von seiner Arbeitstätigkeit eine stabilisierende Wirkung zu erwarten, die einen positiven Einfluss auf sein Wohlverhalten zeitigen werde. Eine Würdigung dieser gesamten Umstände lasse den Schluss zu, dass zumindest ein teilweiser Vollzug der Freiheitsstrafe für die Bewährungsaussichten unumgänglich erscheine. Dadurch sei zu erwarten, dass er genügend gewarnt sei, um sich in Zukunft wohl zu verhalten. Ein vollständig bedingter Strafvollzug ver-bunden mit einer unbedingten Geldstrafe oder mit einer Busse sei da-zu nicht ausreichend. Der Vollzug der Wegweisung des Beschwerdeführers in seinen Heimatstaat erweist sich unter diesen Umständen (keine eigentliche Schlechtprognose) als unzulässig (Kälin, a.a.O., S. 230). Das BFM ist deshalb anzuweisen, den Beschwerdeführer in der Schweiz vorläufig aufzunehmen (vgl. Art. 44 Abs. 2 AsylG i.V.m. Art. 83 Abs. 3 und 8 AuG).</w:t>
      </w:r>
    </w:p>
    <w:p>
      <w:r>
        <w:rPr>
          <w:b/>
        </w:rPr>
        <w:t>E. 10</w:t>
      </w:r>
    </w:p>
    <w:p>
      <w:r>
        <w:t>Die Beschwerde ist insoweit gutzuheissen, als die Zuerkennung der Flüchtlingseigenschaft und die Anordnung der vorläufigen Aufnahme beantragt wird; im Übrigen ist sie abzuweisen. Die Ziffern 1 (Verneinen der Flüchtlingseigenschaft), 4 (Ausreisefrist) und 5 (Vollzug der Wegweisung) des Dispositivs der Verfügung vom 23. Juni 2006 sind aufzuheben und das Bundesamt ist anzuweisen, den Beschwerdeführer als Flüchtling vorläufig aufzunehmen.</w:t>
      </w:r>
    </w:p>
    <w:p>
      <w:r>
        <w:rPr>
          <w:b/>
        </w:rPr>
        <w:t>E. 11.1</w:t>
      </w:r>
    </w:p>
    <w:p>
      <w:r>
        <w:t>Bei diesem Ausgang des Verfahrens wären dem Beschwerdeführer praxisgemäss um zwei Drittel reduzierte Verfahrenskosten aufzu-erlegen (vgl. Art. 63 Abs. 1 VwVG; Art. 2 und 3 des Reglements vom 21. Februar 2008 über die Kosten und Entschädigungen vor dem Bundesverwaltungsgericht [VGKE, SR 173.320.2] i.V.m. Art. 16 Abs. 1 Bst. a VGG). Mit Zwischenverfügung vom 28. Juli 2006 hat die Instruktionsrichterin der ARK das Gesuch um unentgeltliche Rechts-pflege vorbehältlich der Änderung der finanziellen Lage gutgeheissen. Aus den Akten ergibt sich, dass der Beschwerdeführer seit dem (...) einer Erwerbstätigkeit als (...) nachgeht. Vorliegend ist indessen insbesondere aufgrund des Umstandes, dass dem Beschwerdeführer mit Strafurteil des (...) vom (...) Verfahrenskosten in der Höhe von (...) auferlegt worden sind und ihm das (...) mit in Rechtskraft erwachsenem Urteil vom (...) im Berufungsverfahren betreffend Ehevorbereitungs- und Vaterschaftsanerkennungsverfahren vor dem (...) die unentgeltliche Rechtspflege gewährt hat, nach wie vor von seiner prozessualen Bedürftigkeit auszugehen, weshalb davon Abstand genommen wird, den Entscheid der Instruktionsrichterin der ARK vom 28. Juli 2006 in Wiedererwägung zu ziehen. Der Beschwer-deführer ist somit zufolge Gutheissung des Gesuchs um unentgeltliche Rechtspflege von der Bezahlung der Verfahrenskosten zu befreien.</w:t>
      </w:r>
    </w:p>
    <w:p>
      <w:r>
        <w:rPr>
          <w:b/>
        </w:rPr>
        <w:t>E. 11.2</w:t>
      </w:r>
    </w:p>
    <w:p>
      <w:r>
        <w:t>Der Beschwerdeführer hat teilweise obsiegt, indem er mit seiner Beschwerde bei der Frage der Flüchtlingseigenschaft durchgedrungen ist. Es ist ihm daher eine angemessene, praxisgemäss um ein Drittel reduzierte Parteientschädigung zuzusprechen (Art. 64 Abs. 1 VwVG; Art. 7 ff. VGKE). In der am 2. November 2009 eingereichten Kostennote weist der Rechtsvertreter des Beschwerdeführers einen zeitlichen Vertretungsaufwand von 8,75 Stunden zu einem Stundenansatz von Fr. 200.-, total also Fr. 1750.-, aus, der unter Berücksichtigung von Umfang und Schwierigkeit des vorliegenden Verfahrens angemessen erscheint. Dem Beschwerdeführer ist somit eine vom BFM zu entrichtende, reduzierte Parteientschädigung im Betrag von Fr. 1330.50 (Vertretungsaufwand von 6 Stunden [aufgerundet] à Fr. 200.- zuzüglich Auslagen von Fr. 36.50.- und Mehrwertsteuer von 7,6 Prozent)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