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E-5704/2023 vom 24. Oktober 2023</w:t>
      </w:r>
    </w:p>
    <w:p>
      <w:r>
        <w:t>Bundesverwaltungsgericht, 2023-10-24, DE</w:t>
      </w:r>
    </w:p>
    <w:p>
      <w:r>
        <w:rPr>
          <w:b/>
        </w:rPr>
        <w:t xml:space="preserve">Quelle: </w:t>
      </w:r>
      <w:r>
        <w:t>https://mcp.opencaselaw.ch/entscheid/bvger_E-5704_2023</w:t>
      </w:r>
    </w:p>
    <w:p>
      <w:r>
        <w:t>FR: TAF E-5704/2023 du 24 octobre 2023</w:t>
      </w:r>
    </w:p>
    <w:p>
      <w:r>
        <w:t>IT: TAF E-5704/2023 del 24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und deren Kind haben am Verfahren vor der Vorinstanz teilgenommen, sind durch die angefochtene Verfügung besonders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Ein Abgleich der Fingerabdrücke der Beschwerdeführenden mit der «Eurodac»-Datenbank ergab, dass diese am (...) 2023 beziehungsweise am (...) 2023 in Kroatien Asylgesuche gestellt hatten (vgl. SEM-Akte [...]-14/1 und [...]-12/1). Die zuständigen kroatischen Behörden haben den Wiederaufnahmegesuchen des SEM gestützt auf Art. 20 Abs. 5 Dublin-III-VO ausdrücklich zugestimmt und dabei ausgeführt, die Beschwerdeführenden hätten in Kroatien um Asyl nachgesucht und seien vor ihren Interviews zwar verschwunden, ihre Verfahren seien aber noch pendent (vgl. SEM-Akte [...]-33/2 und [...]-35/2). Dementsprechend ist ohne weiteres davon auszugehen, dass die Prüfung ihrer Asylgesuche nach ihrer Überstellung nach Kroatien fortgesetzt wird. Nach dem Gesagten ist die grundsätzliche Zuständigkeit Kroatiens für die Durchführung des Asyl- und Wegweisungsverfahrens betreffend die Beschwerdeführenden und deren Kind gegeben. Der auf Beschwerdeebene erneut geltend gemachte Umstand, dass sie zur Abgabe ihrer Fingerabdrücke in Kroatien gezwungen worden seien, vermag daran nichts zu ändern (vgl. dazu auch Verfügung des SEM vom 11. Oktober 2023 Ziff. II S. 5).</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5.2.1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5.2.3</w:t>
      </w:r>
    </w:p>
    <w:p>
      <w:r>
        <w:t>Insbesondere lassen auch die von den Beschwerdeführenden bei ihrer illegalen Einreise nach Kroatien geltend gemachten Vorkommnisse (mehrere Stunden ohne Essen und Trinken gemeinsam mit zwanzig anderen Personen in einem Raum eingesperrt verbringen müssen, Androhung von Schlägen und die Wegnahme von Wertgegenständen durch Beamte) nicht den Schluss zu, sie hätten bei einer Überstellung nach Kroatien mit hoher Wahrscheinlichkeit eine unmenschliche oder erniedrigende Behandlung im Sinne von Art. 3 EMRK, Art. 3 FoK oder Art. 4 EU-Grundrechtecharta zu gewärtigen. Gegen das Fehlverhalten von einzelnen Polizeibeamten könnten sie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die Urteile des BVGer E-4189/2023 vom 4. August 2023 E. 7.2.3, E-2117/2023 vom 24. April 2023 E. 6.1.2 und das Urteil des BVGer E-5614/2022 vom 19. Dezember 2022 E. 5.2).</w:t>
      </w:r>
    </w:p>
    <w:p>
      <w:r>
        <w:rPr>
          <w:b/>
        </w:rPr>
        <w:t>E. 5.3</w:t>
      </w:r>
    </w:p>
    <w:p>
      <w:r>
        <w:t>Die Beschwerdeführenden brachten auf Beschwerdeeben zudem neu vor, sie seien aufgrund ihrer Zugehörigkeit zur kurdischen Ethnie und der alevitischen Glaubensgemeinschaft in der Türkei politischer sowie ethnisch-religiöser Verfolgung ausgesetzt. Der Beschwerdeführer sei deswegen sowie aufgrund seiner politischen Aktivitäten im Visier der türkischen Polizei gewesen. Die Polizei habe ihn gezwungen, als (...) für sie zu arbeiten. Er habe daraufhin die Türkei verlassen, um dadurch dem Druck der Polizei und einer Festnahme zu entkommen. Es sei allgemein bekannt, dass die kroatischen Behörden in den vergangenen Jahren und Monaten zahlreiche kurdische Asylbewerber unter Anwendung von Gewalt in die Türkei zurückgeschickt hätten. Im Fall einer Überstellung nach Kroatien würden auch sie mit an Sicherheit grenzender Wahrscheinlichkeit in die Türkei ausgeschafft, wo sie aufgrund ihrer kurdischen Herkunft, ihres alevitischen Glaubens sowie der Probleme des Beschwerdeführers an Leib und Leben gefährdet seien. Die Beschwerdeführenden fordern mit diesen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Zudem ist darauf hinzuweisen, dass die Beschwerdeführenden allfällig (neue) Asylgründe sowie Wegweisungs-hindernisse bei den zuständigen kroatischen Behörden vorzubringen haben, da die Prüfung von Asylgründen nicht Gegenstand des vorliegenden Zuständigkeitsverfahren ist (vgl. vorhergehend E. 4).</w:t>
      </w:r>
    </w:p>
    <w:p>
      <w:r>
        <w:rPr>
          <w:b/>
        </w:rPr>
        <w:t>E. 5.3.2</w:t>
      </w:r>
    </w:p>
    <w:p>
      <w:r>
        <w:t>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5.3.3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gesundheitlichen Beschwerden der Beschwerdeführerin ([...] und [...]) sind nicht als derart schwerwiegend anzusehen, dass aus humanitären Gründen oder gar wegen einer drohenden Verletzung von Art. 3 EMRK von einer Überstellung nach Kroatien abgesehen werden müsste (vgl. SEM-Akte [...]-38/2;[...]-40/3). Die vom Beschwerdeführer geltend gemachten psychischen Probleme sind nicht ausgewiesen und die Tochter gilt nach einem durchgemachten Infekt wieder als gesund (vgl. SEM-Akte [...]-37/1; [...]-39/3; [...]-41/2). Des Weiteren ist hierzu auf die zutreffenden Ausführungen der Vorinstanz zu verweisen (vgl. Verfügung des SEM 11. Oktober 2023 Ziff. II S. 6; 8 - 10). Im Übrigen wies das SEM zu Recht darauf hin, dass Kroatien grundsätzlich über eine ausreichende medizinische Infrastruktur verfügt (vgl. Verfügung des SEM vom 11. Oktober 2023 Ziff. II S. 8 - 10).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Kroatien seinen Verpflichtungen im Rahmen der Dublin-III-VO in medizinischer Hinsicht nicht nachkommen würde. Bezüglich der Reisefähigkeit, der Durchführung der Überstellung und der Information der kroatischen Behörden über den aktuellen Gesundheitszustand (Art. 31 und Art. 32 Dublin-III-VO) kann im Übrigen auf die zutreffenden Ausführungen der Vorinstanz verwiesen werden (vgl. Verfügung des SEM vom 11. Oktober 2023 Ziff. II S. 10 sowie SEM-Akte [...]-44/1), worin sie unter anderem ausdrücklich festhält, dass die kroatischen Behörden bei der Überstellung über notwendige medizinische Behandlungen der Beschwerdeführenden und deren Kindes informiert werden.</w:t>
      </w:r>
    </w:p>
    <w:p>
      <w:r>
        <w:rPr>
          <w:b/>
        </w:rPr>
        <w:t>E. 5.3.4</w:t>
      </w:r>
    </w:p>
    <w:p>
      <w:r>
        <w:t>Nach dem Gesagten besteht kein Grund für einen Selbsteintritt der Schweiz in Anwendung von Art. 17 Dublin-III-VO oder von Art. 29a Abs. 3 AsylV 1. In Bezug auf das humanitäre Ermessen des SEM liegen keine Anhaltspunkte für einen Ermessensfehlgebrauch vor. Der Vollständigkeit halber ist festzuhalten, dass die Dublin-III-VO den Schutzsuchenden kein Recht einräumt, den ihren Antrag prüfenden Staat selbst auszuwählen (vgl. auch BVGE 2010/45 E. 8.3).</w:t>
      </w:r>
    </w:p>
    <w:p>
      <w:r>
        <w:rPr>
          <w:b/>
        </w:rPr>
        <w:t>E. 5.4</w:t>
      </w:r>
    </w:p>
    <w:p>
      <w:r>
        <w:t>Das SEM ist dementsprechend zu Recht auf die Asylgesuche der Beschwerdeführenden und deren Kindes nicht eingetreten. Da sie nicht im Besitz einer gültigen Aufenthalts- oder Niederlassungsbewilligung sind, wurde die Überstellung nach Kroatien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8</w:t>
      </w:r>
    </w:p>
    <w:p>
      <w:r>
        <w:t>Das mit der Beschwerde gestellte Gesuch um Gewährung der unentgeltlichen Prozessführung ist abzuweisen, da die Begehren - wie sich aus den vorstehenden Erwägungen ergibt - offensichtlich aussichtlos waren, weshalb die Voraussetzungen von Art. 65 Abs. 1 VwVG nicht erfüllt sind. Das Gesuch um Befreiung von der Kostenvorschusspflicht wird mit dem vorliegenden Entscheid in der Sache gegenstandslos.</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