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E-5704/2022 vom 19. Dezember 2022</w:t>
      </w:r>
    </w:p>
    <w:p>
      <w:r>
        <w:t>Bundesverwaltungsgericht, 2022-12-19, FR</w:t>
      </w:r>
    </w:p>
    <w:p>
      <w:r>
        <w:rPr>
          <w:b/>
        </w:rPr>
        <w:t xml:space="preserve">Quelle: </w:t>
      </w:r>
      <w:r>
        <w:t>https://mcp.opencaselaw.ch/entscheid/bvger_E-5704_2022</w:t>
      </w:r>
    </w:p>
    <w:p>
      <w:r>
        <w:t>FR: TAF E-5704/2022 du 19 décembre 2022</w:t>
      </w:r>
    </w:p>
    <w:p>
      <w:r>
        <w:t>IT: TAF E-5704/2022 del 19 dicembre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(art. 48 al. 1 PA). Présenté dans la forme (art. 52 al. 1 PA) et le délai (art. 108 al. 3 LAsi) prescrits par la loi, le recours est recevable. Le Tribunal est donc compétent pour connaître du présent litige.</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2.2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2.3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2.4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3.1</w:t>
      </w:r>
    </w:p>
    <w:p>
      <w:r>
        <w:t>En l'occurrence, les investigations entreprises par le SEM ont révélé, après consultation de l'unité centrale du système européen "Eurodac", que le recourant avait déposé une demande d'asile en Bulgarie. Fondé sur ce qui précède, le SEM a soumis aux autorités bulgares compétentes, le 26 octobre 2022, dans le délai fixé à l'art. 23 par. 2 du règlement Dublin III, une demande aux fins de reprise en charge de l'intéressé, en application de l'art. 18 par. 1 let. b du règlement Dublin III. Le 3 novembre 2022 (soit dans le respect du délai de l'art. 25 par. 1 du règlement Dublin III), la Bulgarie a expressément accepté de reprendre en charge l'intéressé sur la base de l'art. 18 par. 1 let. c du règlement Dublin III (demande d'asile retirée en cours d'examen).</w:t>
      </w:r>
    </w:p>
    <w:p>
      <w:r>
        <w:rPr>
          <w:b/>
        </w:rPr>
        <w:t>E. 3.2</w:t>
      </w:r>
    </w:p>
    <w:p>
      <w:r>
        <w:t>La Bulgarie a ainsi valablement reconnu sa compétence pour traiter la demande d'asile de l'intéressé. Dans son recours, celui-ci ne conteste d'ailleurs pas cette compétence sur le principe, mais s'oppose à son transfert vers cet Etat pour d'autres motifs, qu'il y a lieu d'analyser dans les considérants suivants.</w:t>
      </w:r>
    </w:p>
    <w:p>
      <w:r>
        <w:rPr>
          <w:b/>
        </w:rPr>
        <w:t>E. 4.1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De jurisprudence constante, tel n'est pas le cas, même si des carences du système d'asile bulgare sont constatées (cf. arrêt de référenceF-7195/2018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4.3</w:t>
      </w:r>
    </w:p>
    <w:p>
      <w:r>
        <w:t>En l'espèce, les allégations vagues et non étayées du recourant, selon lesquelles il aurait subi, en Bulgarie, des violences de policiers ou de gardes-frontière dans le cadre d'un refoulement à la frontière, ne sauraient conduire le Tribunal à revenir sur sa jurisprudence précitée sur l'absence de défaillances systémiques dans ce pays. On ne saurait en effet pas accorder à ces assertions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c du règlement Dublin III).</w:t>
      </w:r>
    </w:p>
    <w:p>
      <w:r>
        <w:rPr>
          <w:b/>
        </w:rPr>
        <w:t>E. 5.1</w:t>
      </w:r>
    </w:p>
    <w:p>
      <w:r>
        <w:t>Dans son recours, l'intéressé s'est opposé à son transfert vers la Bulgarie en sollicitant l'application de la clause discrétionnaire prévue à l'art. 17 par. 1 du règlement Dublin III.</w:t>
      </w:r>
    </w:p>
    <w:p>
      <w:r>
        <w:rPr>
          <w:b/>
        </w:rPr>
        <w:t>E. 5.2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5.4</w:t>
      </w:r>
    </w:p>
    <w:p>
      <w:r>
        <w:t>En l'espèce, au vu des informations ressortant de la base de données "Eurodac" et de la communication du 3 novembre 2022, le recourant a pu entamer, en Bulgarie, une procédure de demande de protection internationale. Comme l'a relevé le SEM dans sa décision, il n'y a pas de raison de retenir que les autorités de ce pays refuseraient de le reprendre en charge et de mener à terme cette procédure. Le recourant n'a d'ailleurs pas démontré le contraire. Ses allégations selon lesquelles il aurait été à une reprise refoulé vers la Turquie ne sauraient être déterminantes en l'état. A supposer qu'il ait véritablement fait l'objet d'un "pushback", sa situation dans la présence procédure est foncièrement différente de celle dans laquelle il se trouvait à l'époque. En effet, les autorités bulgares l'ont depuis lors reconnu comme requérant d'asile et ont expressément confirmé leur volonté de poursuivre le traitement de sa demande.</w:t>
      </w:r>
    </w:p>
    <w:p>
      <w:r>
        <w:rPr>
          <w:b/>
        </w:rPr>
        <w:t>E. 5.5</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frappé à coup de matraque par des policiers ou gardes-frontière et avoir souffert de blessures (à la main et au pied). Or, ces déclarations, nullement étayées, sont demeurées particulièrement vagues. On peine d'ailleurs à comprendre, à la lecture du dossier du SEM et de son recours, dans quel contexte ces maltraitances policières seraient intervenues. Nonobstant ce qui précède, des voies de droit existent en Bulgarie pour se plaindre de telles actions. Dans ce contexte, si le recourant devait être, après son retour en Bulgarie, confronté à des mesures policières disproportionnées ou injustifiées, il lui appartiendrait de s'en plaindre auprès des autorités administratives et judiciaires de cet Etat.</w:t>
      </w:r>
    </w:p>
    <w:p>
      <w:r>
        <w:rPr>
          <w:b/>
        </w:rPr>
        <w:t>E. 5.6</w:t>
      </w:r>
    </w:p>
    <w:p>
      <w:r>
        <w:t>S'agissant de son état de santé, le recourant a, depuis son arrivée en Suisse, consulté pour une respiration nocturne partiellement obstruée et une otite bilatérale. Au vu des documents médicaux produits, rien n'indique toutefois que ces affections seraient d'une gravité telle qu'elles nécessiteraient impérativement la poursuite d'un traitement en Suisse au point que son transfert serait contraire à l'art. 3 CEDH (cf. arrêt Paposhvili c. Belgique du 13 décembre 2016 [Grande Chambre], requête no 41738/10, rappelée dans l'arrêt Savran c. Danemark [GC] du 7 décembre 2021, requête n° 57467/2015). Le recourant a reçu un traitement pour son otite et l'oxymétrie, mentionnée dans le certificat du 16 novembre 2022, relève d'une simple recommandation. Concernant ses blessures, prétendument subies à la main et au pied lors de son refoulement, il a mentionné les avoir soignées en Turquie. S'il a certes indiqué dans son recours ressentir toujours des douleurs, imputables aux coups reçus, le dossier n'indique pas qu'il nécessiterait des soins particuliers en lien avec celles-ci. S'agissant de ses prétendus troubles psychiques, mentionnés dans le cadre de son entretien Dublin (troubles du sommeil avec cauchemars) et au stade de son recours (difficulté d'endormissement, cauchemars et attaques d'angoisse avec flash-backs des maltraitances policières), il n'a déposé aucune pièce attestant qu'il aurait consulté l'infirmerie du CFA et que cette infirmerie aurait jugé opportun de le rediriger vers un médecin. Dans ce contexte, les pensées suicidaires, évoquées dans le recours, ne sont nullement démontrées. En tout état de cause, ses problèmes tant somatiques que psychiques pourront, le cas échéant, être investigués et pris en charge en Bulgarie, pays disposant de structures médicales adéquates et qui est lié à la directive Accueil (cf. art. 19).</w:t>
      </w:r>
    </w:p>
    <w:p>
      <w:r>
        <w:rPr>
          <w:b/>
        </w:rPr>
        <w:t>E. 5.7</w:t>
      </w:r>
    </w:p>
    <w:p>
      <w:r>
        <w:t>Au vu de ce qui précède, l'intéressé n'a pas démontré que son retour en Bulgarie le placerait dans une situation de vulnérabilité particulière, qui commanderait, conformément à la jurisprudence du Tribunal (cf. consid. 5.3 précité), un examen plus poussé de sa situation personnelle en cas de transfert. A fortiori, son transfert vers cet Etat n'est pas contraire aux obligations de la Suisse découlant de ses obligations internationales. Le SEM n'est donc pas tenu de renoncer au transfert et d'examiner lui-même la demande d'asile.</w:t>
      </w:r>
    </w:p>
    <w:p>
      <w:r>
        <w:rPr>
          <w:b/>
        </w:rPr>
        <w:t>E. 5.8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5.9</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Au vu de ce qui précède, c'est à bon droit que le SEM n'est pas entré en matière sur la demande d'asile, en application de l'art. 31a al. 1 let. b LAsi, et qu'il a prononcé le transfert de l'intéressé de Suisse vers la Bulgarie, en application de l'art. 44 LAsi, aucune exception à la règle générale du renvoi n'étant réalisée (cf. art. 32 OA 1). Le recours doit par conséquent être rejeté et la décision attaquée confirmée.</w:t>
      </w:r>
    </w:p>
    <w:p>
      <w:r>
        <w:rPr>
          <w:b/>
        </w:rPr>
        <w:t>E. 6.2</w:t>
      </w:r>
    </w:p>
    <w:p>
      <w:r>
        <w:t>S'avérant manifestement infondé, il est rejeté dans une procédure à juge unique, avec l'approbation d'un second juge (art. 111 let. e LAsi). Vu l'issue de la cause, il est, en outre, renoncé à un échange d'écritures (art. 111a al.1 et 2 LAsi).</w:t>
      </w:r>
    </w:p>
    <w:p>
      <w:r>
        <w:rPr>
          <w:b/>
        </w:rPr>
        <w:t>E. 7.1</w:t>
      </w:r>
    </w:p>
    <w:p>
      <w:r>
        <w:t>Dès lors qu'il est statué dans un arrêt immédiat, les demandes de mesures superprovisionnelles, d'octroi de l'effet suspensif et de dispense de paiement d'une avance de frais deviennent sans objet.</w:t>
      </w:r>
    </w:p>
    <w:p>
      <w:r>
        <w:rPr>
          <w:b/>
        </w:rPr>
        <w:t>E. 7.2</w:t>
      </w:r>
    </w:p>
    <w:p>
      <w:r>
        <w:t>Les conclusions du recours étant d'emblée vouées à l'échec, la demande d'assistance judiciaire totale est rejetée (art. 102m al. 1 let. a LAsi et 65 al. 1 PA).</w:t>
      </w:r>
    </w:p>
    <w:p>
      <w:r>
        <w:rPr>
          <w:b/>
        </w:rPr>
        <w:t>E. 7.3</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