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E-5702/2014 vom 16. Oktober 2014</w:t>
      </w:r>
    </w:p>
    <w:p>
      <w:r>
        <w:t>Bundesverwaltungsgericht, 2014-10-16, DE</w:t>
      </w:r>
    </w:p>
    <w:p>
      <w:r>
        <w:rPr>
          <w:b/>
        </w:rPr>
        <w:t xml:space="preserve">Quelle: </w:t>
      </w:r>
      <w:r>
        <w:t>https://mcp.opencaselaw.ch/entscheid/bvger_E-5702_2014</w:t>
      </w:r>
    </w:p>
    <w:p>
      <w:r>
        <w:t>FR: TAF E-5702/2014 du 16 octobre 2014</w:t>
      </w:r>
    </w:p>
    <w:p>
      <w:r>
        <w:t>IT: TAF E-5702/2014 del 16 ottobre 2014</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Gründen ist Rechnung zu tragen (Art. 3 AsylG).</w:t>
      </w:r>
    </w:p>
    <w:p>
      <w:r>
        <w:rPr>
          <w:b/>
        </w:rPr>
        <w:t>E. 4.1</w:t>
      </w:r>
    </w:p>
    <w:p>
      <w:r>
        <w:t>Die Vorinstanz gelangt in der angefochtenen Verfügung zum Schluss, die Vorbringen der Beschwerdeführerin hielten den Anforderungen an die Flüchtlingseigenschaft gemäss Art. 3 AsylG nicht stand. Bei den geltend gemachten Benachteiligungen handle es sich um eine Verfolgung durch Drittpersonen. Vor diesem Hintergrund sei vorab festzustellen, dass der Bundesrat mit Beschluss vom 5. Oktober 1993 Albanien als verfolgungssicheren Staat bezeichnet habe. Es bestehe daher die gesetzliche Vermutung, dass asylrelevante staatliche Verfolgung nicht staatfinde und Schutz vor nichtstaatlicher Verfolgung gewährleistet sei. Kein Staat sei indes in der Lage, die Sicherheit seiner Bürger im Falle von Übergriffen durch Drittpersonen vollumfänglich zu gewährleisten. Fälle von häuslicher Gewalt beziehungsweise die Einleitung entsprechender umfassender und nachhaltiger Präventionsmassnahmen würden überall ein ernstzunehmendes Problem darstellen. Daraus könne nicht geschlossen werden, dass das Ersuchen um staatlichen Schutz von vornherein ein nutzloses Unterfangen sei beziehungsweise der albanische Staat in diesen Belangen seiner Schutzpflicht grundsätzlich nicht nachkomme. Die geltend gemachten gewalttätigen Übergriffe würden auch in Albanien als strafbare Handlungen gelten, die von den zuständigen Strafverfolgungsbehörden im Rahmen ihrer Möglichkeiten geahndet würden. Zwar mache die Beschwerdeführerin geltend, sie habe den verlangten Schutz nicht erhalten. Indes gebe es keine Hinweise dafür, dass der albanische Staat derartige Übergriffe dulde oder unterstütze. Seit die Problematik der häuslichen Gewalt in Albanien von Nichtregierungsorganisationen erkannt und thematisiert worden sei, habe eine positive Entwicklung eingesetzt. Seit dem 1. Juni 2007 sei das Gewaltschutzgesetz in Kraft. Dieses Gesetz sehe ein Netzwerk verschiedener Behörden sowie eine Schutzanordnung für Opfer häuslicher Gewalt vor. Diese Schutzanordnung sei bei einem Zivilgericht zu beantragen. Demnach komme der albanische Staat in Fällen häuslicher Gewalt seiner Schutzpflicht im Rahmen seiner Möglichkeiten nach. Es gebe keine Hinweise darauf, dass nach einer Meldung an die Behörden in Sachen häuslicher Gewalt der erforderliche Schutz nicht gewährt werde. Es sei der Beschwerdeführerin zuzumuten, sich nach der Rückkehr an die zuständigen Behörden zu wenden.</w:t>
      </w:r>
    </w:p>
    <w:p>
      <w:r>
        <w:rPr>
          <w:b/>
        </w:rPr>
        <w:t>E. 4.2</w:t>
      </w:r>
    </w:p>
    <w:p>
      <w:r>
        <w:t>In der Rechtsmitteleingabe macht die Beschwerdeführerin sinngemäss geltend, die Vorinstanz habe sie zu Unrecht nicht als Flüchtling anerkannt und damit Bundesrecht verletzt. Der vorinstanzliche Schluss ist indes nicht zu beanstanden. In der angefochtenen Verfügung wird einlässlich dargelegt, weshalb die Beschwerdeführerin die Voraussetzungen zur Anerkennung als Flüchtling nicht erfüllt. Was in der Rechtsmitteleingabe dagegen vorgebracht wird, ist nicht geeignet, einen anderen Schluss zu ziehen. Namentlich legt die Beschwerdeführerin mit dem blossen Wiederholen des aktenkundigen Sachverhalts nicht dar, inwiefern die Vorinstanz zu Unrecht das Vorliegen der Flüchtlingseigenschaft verneint hat. Mit der Vorinstanz ist nochmals festzuhalten, dass der albanische Staat hinreichende Möglichkeiten zum Schutz vor häuslicher Gewalt bietet und es der Beschwerdeführerin ohne weiteres zuzumuten ist, sich an die dafür zuständigen Stellen zu wenden, allenfalls unter Beizug eines Rechtsanwalts. Um Wiederholungen zu vermeiden, kann auf die zutreffenden Erwägungen in der angefochtenen Verfügung verwiesen werden. Die Vorinstanz hat das Asylgesuch zu Recht abgelehnt.</w:t>
      </w:r>
    </w:p>
    <w:p>
      <w:r>
        <w:rPr>
          <w:b/>
        </w:rPr>
        <w:t>E. 5</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Vorinstanz hat die Wegweisung demnach zu Recht verfügt.</w:t>
      </w:r>
    </w:p>
    <w:p>
      <w:r>
        <w:rPr>
          <w:b/>
        </w:rPr>
        <w:t>E. 6.1</w:t>
      </w:r>
    </w:p>
    <w:p>
      <w:r>
        <w:t>Der Vollzug der Wegweisung ist nach Art. 83 Abs. 3 AuG (SR 142.20) unzulässig, wenn völkerrechtliche Verpflichtungen der Schweiz einer Weiterreise der Ausländerin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der Beschwerdeführerin und den Akten ergeben sich keine konkreten Anhaltspunkte dafür, dass sie für den Fall einer Ausschaffung nach Albanien dort mit beachtlicher Wahrscheinlichkeit einer nach Art. 3 EMRK oder Art. 1 FoK verbotenen Strafe oder Behandlung ausgesetzt wäre. Der Vollzug der Wegweisung ist zulässig.</w:t>
      </w:r>
    </w:p>
    <w:p>
      <w:r>
        <w:rPr>
          <w:b/>
        </w:rPr>
        <w:t>E. 6.2</w:t>
      </w:r>
    </w:p>
    <w:p>
      <w:r>
        <w:t>Der Vollzug der Wegweisung kann nach Art. 83 Abs. 4 AuG unzumutbar sein, wenn der Ausländer oder die Ausländerin im Heimat- oder Herkunftsstaat auf Grund von Situationen wie Krieg, Bürgerkrieg, allgemeiner Gewalt und medizinischer Notlage konkret gefährdet sind. Die Vorinstanz hat in der angefochtenen Verfügung im Rahmen der Zumutbarkeit ergänzend zu den Ausführungen zur Flüchtlingseigenschaft auf das Beratungszentrum Councelling Center for abused Women and Girls (CCWG) in Tirana hingewiesen. Damit steht der Beschwerdeführerin eine weitere Möglichkeit offen, um Hilfe bei einem allfälligen Vorgehen gegen ihre Familie im Zusammenhang mit der erlittenen oder allenfalls zukünftig sich ergebenden häuslichen Gewalt zu erhalten. Diesbezüglich sowie bezüglich der regelmässigen Nachkontrollen im Zusammenhang mit der seinerzeitigen F._______operation kann vollumfänglich auf die zutreffenden Erwägungen in der angefochtenen Verfügung verwiesen werden. Der Vollzug der Wegweisung ist demnach zumutbar.</w:t>
      </w:r>
    </w:p>
    <w:p>
      <w:r>
        <w:rPr>
          <w:b/>
        </w:rPr>
        <w:t>E. 6.3</w:t>
      </w:r>
    </w:p>
    <w:p>
      <w:r>
        <w:t>Die Beschwerdeführerin ist im Besitze eines gültigen albanischen Reisepasses sowie einer Identitätskarte, weshalb der Vollzug der Wegweisung auch möglich ist (vgl. Art. 8 Abs. 4 AsylG und dazu BVGE 2008/34 E. 12).</w:t>
      </w:r>
    </w:p>
    <w:p>
      <w:r>
        <w:rPr>
          <w:b/>
        </w:rPr>
        <w:t>E. 6.4</w:t>
      </w:r>
    </w:p>
    <w:p>
      <w:r>
        <w:t>Zusammenfassend hat die Vorinstanz den Wegweisungsvollzug zu Recht als zulässig, zumutbar und möglich erachtet. Die Anordnung einer vorläufigen Aufnahme fällt damit ausser Betracht (Art. 83 Abs. 1 - 4 AuG).</w:t>
      </w:r>
    </w:p>
    <w:p>
      <w:r>
        <w:rPr>
          <w:b/>
        </w:rPr>
        <w:t>E. 7</w:t>
      </w:r>
    </w:p>
    <w:p>
      <w:r>
        <w:t>Aus diesen Erwägungen ergibt sich, dass die angefochtene Verfügung Bundesrecht nicht verletzt und auch sonst nicht zu beanstanden ist (Art. 106 AsylG). Die Beschwerde ist abzuweisen. Damit ist der Antrag auf Wiederherstellung der aufschiebenden Wirkung gegenstandslos geworden. Ebenso sind der Antrag betreffend Kontaktaufnahme mit den Behörden des Heimatlandes und der Antrag betreffend Datenweitergabe gegenstandslos geworden. Was den Antrag auf Erlass einer separaten Verfügung betreffend eine bereits erfolgte Datenweitergabe anbelangt, ist festzustellen, dass den Akten keine entsprechenden Hinweise zu entnehmen sind.</w:t>
      </w:r>
    </w:p>
    <w:p>
      <w:r>
        <w:rPr>
          <w:b/>
        </w:rPr>
        <w:t>E. 8.1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um Gewährung der unentgeltlichen Rechtspflege nicht stattzugeben ist.</w:t>
      </w:r>
    </w:p>
    <w:p>
      <w:r>
        <w:rPr>
          <w:b/>
        </w:rPr>
        <w:t>E. 8.2</w:t>
      </w:r>
    </w:p>
    <w:p>
      <w:r>
        <w:t>Bei diesem Ausgang des Verfahrens sind die Kosten von Fr. 600.- (Art. 1-3 des Reglements vom 21. Februar 2008 über die Kosten und Entschädigungen vor dem Bundesverwaltungsgericht [VGKE], SR 173.320.2) der Beschwerdeführerin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