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E-5699/2023 vom 28. September 2023</w:t>
      </w:r>
    </w:p>
    <w:p>
      <w:r>
        <w:t>Bundesverwaltungsgericht, 2023-09-28, DE</w:t>
      </w:r>
    </w:p>
    <w:p>
      <w:r>
        <w:rPr>
          <w:b/>
        </w:rPr>
        <w:t xml:space="preserve">Quelle: </w:t>
      </w:r>
      <w:r>
        <w:t>https://mcp.opencaselaw.ch/entscheid/bvger_E-5699_2023_d20230928</w:t>
      </w:r>
    </w:p>
    <w:p>
      <w:r>
        <w:t>FR: TAF E-5699/2023 du 28 septembre 2023</w:t>
      </w:r>
    </w:p>
    <w:p>
      <w:r>
        <w:t>IT: TAF E-5699/2023 del 28 settembre 2023</w:t>
      </w:r>
    </w:p>
    <w:p>
      <w:pPr>
        <w:pStyle w:val="Heading2"/>
      </w:pPr>
      <w:r>
        <w:t>Regeste</w:t>
      </w:r>
    </w:p>
    <w:p>
      <w:r>
        <w:t>Asyl und Wegweisung (beschleunigtes Verfahren) | Asyl und Wegweisung (beschleunigtes Verfahren); Verfügung des SEM vom 28.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aCovid-19-Verordnung Asyl [SR 142.318]; Art. 48 Abs. 1 sowie Art. 52 Abs. 1 VwVG). Auf die Beschwerde ist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E-5699/2023 Seite 5 Gestützt auf Art. 111a Abs. 1 AsylG wurde auf die Durchführung eines Schriftenwechsels verzichtet.</w:t>
      </w:r>
    </w:p>
    <w:p>
      <w:r>
        <w:rPr>
          <w:b/>
        </w:rPr>
        <w:t>E. 4.1</w:t>
      </w:r>
    </w:p>
    <w:p>
      <w:r>
        <w:t>Der Beschwerdeführer rügt in seiner Rechtsmitteleingabe, anlässlich der Anhörung seien seine Aussagen nicht richtig übersetzt worden, wes- halb die vorinstanzliche Verfügung auf einem unrichtigen Sachverhalt be- ruhe. Entgegen der protokollierten Aussagen sei im Jahr 20(…) nicht eine Frau der Gegenseite getötet und eine verletzt worden, vielmehr habe es sich um seine Verwandten gehandelt. Weiter macht er geltend, die Vor- instanz habe das vorliegende Verfahren nicht mit denjenigen seiner drei Verwandten (N […], N […], N […]) koordiniert. Dies sei nicht nachvollzieh- bar, da sie alle die gleichen Asylgründe geltend machen würden. Damit macht er sinngemäss eine Verletzung des rechtlichen Gehörs und des Un- tersuchungsgrundsatzes geltend. Diese formellen Rügen sind vorab zu be- urteilen, da sie allenfalls geeignet wären, eine Kassation der vorinstanzli- chen Verfügung zu bewirken.</w:t>
      </w:r>
    </w:p>
    <w:p>
      <w:r>
        <w:rPr>
          <w:b/>
        </w:rPr>
        <w:t>E. 4.2</w:t>
      </w:r>
    </w:p>
    <w:p>
      <w:r>
        <w:t>Der in Art. 29 Abs. 2 BV verankerte Anspruch auf rechtliches Gehör, welcher in den Art. 29 ff. VwVG konkretisiert wird, dient einerseits der Auf- klärung des Sachverhalts, andererseits stellt er ein persönlichkeitsbezoge- nes Mitwirkungsrecht der Partei dar. Nach dem Untersuchungsgrundsatz (vgl. Art. 6 AsylG i.V.m. Art. 12 VwVG) hat die Behörde von Amtes wegen für die richtige und vollständige Abklärung des rechtserheblichen Sachver- haltes zu sorgen. Unrichtig ist die Sachverhaltsfeststellung, wenn der Ver- fügung ein falscher und aktenwidriger Sachverhalt zugrunde gelegt wird oder Beweise falsch gewürdigt worden sind (vgl. KÖLZ/HÄFNER/BERTSCHI, Verwaltungsverfahren und Verwaltungsrechtspflege des Bundes, 3. Aufl., 2013, Rz. 1043).</w:t>
      </w:r>
    </w:p>
    <w:p>
      <w:r>
        <w:rPr>
          <w:b/>
        </w:rPr>
        <w:t>E. 4.3</w:t>
      </w:r>
    </w:p>
    <w:p>
      <w:r>
        <w:t>Am Ende der Anhörung bestätigte der Beschwerdeführer unterschrift- lich die Richtigkeit des Protokolls, namentlich dass ihm dieses Satz für Satz vorgelesen und in eine ihm verständliche Sprache übersetzt worden sei, es vollständig sei sowie seinen freien Äusserungen entspreche (vgl. […]). Sodann ist festzustellen, dass er im Rahmen der Rückübersetzung kleine Korrekturen anbrachte und dem Protokoll auch nichts entnommen werden kann, woraus auf Missverständnisse oder Verständigungsprobleme ge- schlossen werden könnte. Darüber hinaus wurde das Protokoll auch der bei der Anhörung anwesenden Rechtsvertretung des Beschwerdeführers zur Unterschrift vorgelegt. Diese erhob diesbezüglich keine Einwände, na- mentlich beanstandete sie weder die Übersetzungsarbeit noch eine</w:t>
      </w:r>
    </w:p>
    <w:p>
      <w:r>
        <w:t>E-5699/2023 Seite 6 unrichtige Sachverhaltsfeststellung. Dies wäre ihr indes bereits zu diesem Zeitpunkt oblegen. Insoweit erweist sich die erhobene Rüge als unbegrün- det. Der Umstand, dass Asylsuchende in ihren Verfahren gleiche Asylgründe vorbringen, stellt noch keinen Grund für die Koordination der Verfahren dar. Darüber hinaus ist der Beschwerdeführer mit den genannten Verwandten, die in der Schweiz dem erweiterten Verfahren zugewiesen wurden, nicht blutsverwandt ([…]). Indem die Vorinstanz die Verfahren nicht koordiniert behandelt hat, hat sie noch keine Verfahrensrechte verletzt und es besteht keine Veranlassung zur Rückweisung an die Vorinstanz zur Neubeurtei- lung der Flüchtlingseigenschaft. Für die angeblich in C._______ hängigen Asylverfahren der Brüder des Beschwerdeführers ist die Schweiz nicht zu- ständig, weshalb darauf nicht weiter einzugehen ist. Auch insoweit ist die Rüge unzutreffend.</w:t>
      </w:r>
    </w:p>
    <w:p>
      <w:r>
        <w:rPr>
          <w:b/>
        </w:rPr>
        <w:t>E. 4.4</w:t>
      </w:r>
    </w:p>
    <w:p>
      <w:r>
        <w:t>Nach dem Gesagten erweisen sich die formellen Rügen als unbegrün- det, weshalb der Subeventualantrag auf Rückweisung der Sache an die Vorinstanz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w:t>
      </w:r>
    </w:p>
    <w:p>
      <w:r>
        <w:t>E-5699/2023 Seite 7 dabei ständiger Praxis. Darauf kann hier verwiesen werden (vgl. BVGE 2015/3 E. 6.5.1 m.w.H.).</w:t>
      </w:r>
    </w:p>
    <w:p>
      <w:r>
        <w:rPr>
          <w:b/>
        </w:rPr>
        <w:t>E. 6.1</w:t>
      </w:r>
    </w:p>
    <w:p>
      <w:r>
        <w:t>Die Vorinstanz kam in der angefochtenen Verfügung zum Schluss, die Vorbringen des Beschwerdeführers hielten weder den Anforderungen an die Flüchtlingseigenschaft gemäss Art. 3 AsylG noch denjenigen an das Glaubhaftmachen gemäss Art. 7 AsylG stand. Die Vorinstanz hält im Wesentlichen fest, es sei bei (drohenden) Übergrif- fen von Dritten von der Schutzwilligkeit und der Schutzfähigkeit der türki- schen Behörden gegenüber seinen Bürgern und Bürgerinnen auszugehen. Kein Staat könne jederzeit die absolute Sicherheit seiner Einwohner ge- währleisten. Wesentlich sei eine funktionierende und effiziente Schutzinf- rastruktur, insbesondere funktionierende polizeiliche Einrichtungen und ein verlässliches Rechts- und Justizsystem, was in der Türkei nachweislich vorhanden sei. Dieses habe vorliegend bereits bei Straftaten im Rahmen der Blutsfehde zu griffigen Massnahmen, konkret zu Verurteilungen von Beteiligten geführt. Es bestünden zudem keine Hinweise, wonach dem Be- schwerdeführer die Inanspruchnahme des Schutzsystems objektiv nicht zugänglich oder individuell nicht zumutbar wäre. Da die geltend gemachten Nachteile im Rahmen der Blutfehde regional beschränkt seien, sei es dem Beschwerdeführer zuzumuten, sich an einem anderen Ort in der Türkei niederzulassen. Es sei nicht davon auszugehen, dass seine Verwandten oder der gegnerische Stamm derart einflussreich seien, um ihn überall in der Türkei aufzuspüren zu können. Nach eigener Aussage sei er persönlich, ausser seiner Anwesenheit an der Schiesserei 20(…) (recte: 20[…]), nie aktiv in die Blutrache involviert gewesen. Da er sich von 20(…) (recte: 20[…]) bis zur Ausreise an seinem angestammten Wohnort in B._______ der aktiven Teilnahme an der Blutfehde habe ent- ziehen können, spreche ebenfalls dafür, dass er dies weiterhin könne, wes- halb er nicht auf den Schutz der Schweiz angewiesen sei. Weiter habe sich der Beschwerdeführer im Laufe des Verfahrens in we- sentlich Punkten vage sowie unvereinbar geäussert. Namentlich habe er die kurz vor der Ausreise von verschiedenen Seiten ausgehende Bedro- hung nicht konkretisieren können und wisse davon nur vom Hörensagen. Ferner sei widersprüchlich, dass er einerseits ausgesagt habe, die letzten drei oder vier Jahre vor der Ausreise das Haus aus Angst nicht mehr</w:t>
      </w:r>
    </w:p>
    <w:p>
      <w:r>
        <w:t>E-5699/2023 Seite 8 verlassen zu haben, andererseits bis zwei Monate vor der Ausreise gear- beitet zu haben.</w:t>
      </w:r>
    </w:p>
    <w:p>
      <w:r>
        <w:rPr>
          <w:b/>
        </w:rPr>
        <w:t>E. 6.2</w:t>
      </w:r>
    </w:p>
    <w:p>
      <w:r>
        <w:t>In der Rechtsmitteleingabe rügt der Beschwerdeführer, die Vorinstanz habe ihn zu Unrecht nicht als Flüchtling anerkannt. Sie gehe zu Unrecht von der Schutzfähigkeit und dem Schutzwillen der türkischen Regierung gegenüber seinen Bürgerinnen und Bürgern aus. Dies zeige sich auch da- rin, dass so viele Leute aus der Türkei ausreisen und in Europa um Schutz nachsuchen würden.</w:t>
      </w:r>
    </w:p>
    <w:p>
      <w:r>
        <w:rPr>
          <w:b/>
        </w:rPr>
        <w:t>E. 6.3</w:t>
      </w:r>
    </w:p>
    <w:p>
      <w:r>
        <w:t>Die vorinstanzlichen Erwägungen sind nicht zu beanstanden. In der an- gefochtenen Verfügung wird einlässlich dargelegt, aus welchen Gründen der Beschwerdeführer die Voraussetzungen zur Anerkennung als Flücht- ling nicht erfüllt. Mit der Vorinstanz ist festzuhalten, dass die sich kurz vor der Ausreise akzentuierten Bedrohungen von privaten Dritten ausgehen, seit Jahren bestehen und der türkische Staat gemäss Rechtsprechung in Bezug auf gemeinstrafrechtlich relevantes Verhalten als schutzfähig sowie schutzwillig gilt (vgl. statt vieler Urteile des BVGer E-4548/2020 vom 23. Oktober 2023 E. 5.1 m.w.H.). Daran vermag der nicht näher substanti- ierte Einwand des Beschwerdeführers in der Rechtsmitteleingabe, die Tür- kei sei kein Rechtsstaat und die türkischen Behörden hätten ihm keine Ga- rantie auf absoluten Schutz geben können, nichts zu ändern. Sollten ihn seine Verwandten und der gegnerische Stamm nach einer Rückkehr er- neut bedrohen, wäre es ihm zuzumuten, sich bei den zuständigen Behör- den zu melden und die Hilfe staatlicher Schutzeinrichtungen und rechtli- cher Anlaufstellen in Anspruch zu nehmen. Zu Recht hat die Vorinstanz sodann festgestellt, dass es sich bei der geltend gemachten Bedrohung um ein lokal begrenztes Problem handelt, welchem sich der Beschwerde- führer durch ein innerstaatliches Ausweichen entziehen kann. Eine inner- staatliche Schutzalternative ist ihm umso mehr zuzumuten, als er gemäss eigenen Angaben früher jeweils im Sommer in D._______, E._______ so- wie im F._______ und damit in anderen Landesteilen der Türkei gearbeitet hat (vgl. […]). Weitergehend äussert sich der Beschwerdeführer in der Rechtsmitteleingabe nicht zu den von der Vor-instanz aufgezeigten Un- stimmigkeiten in seinen Aussagen. Schliesslich kann, um Wiederholungen zu vermeiden, auf die ausführlichen Erwägungen in der angefochtenen Verfügung verwiesen werden.</w:t>
      </w:r>
    </w:p>
    <w:p>
      <w:r>
        <w:rPr>
          <w:b/>
        </w:rPr>
        <w:t>E. 6.4</w:t>
      </w:r>
    </w:p>
    <w:p>
      <w:r>
        <w:t>Zusammenfassend ist festzuhalten, dass die Vorinstanz zu Recht die Flüchtlingseigenschaft des Beschwerdeführers verneint und sein Asylge- such abgelehnt hat.</w:t>
      </w:r>
    </w:p>
    <w:p>
      <w:r>
        <w:t>E-5699/2023 Seite 9</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ist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w:t>
      </w:r>
    </w:p>
    <w:p>
      <w:r>
        <w:t>E-5699/2023 Seite 10</w:t>
      </w:r>
    </w:p>
    <w:p>
      <w:r>
        <w:rPr>
          <w:b/>
        </w:rPr>
        <w:t>E. 8.2.2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nicht. Auch die allgemeine Men- schenrechtssituation im Heimatstaat lässt den Wegweisungsvollzug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 kurdischen Konfliktes sowie der bewaffneten Auseinandersetzungen zwi- schen der PKK und staatlichen Sicherheitskräften seit Juli 2015 in ver- schiedenen Provinzen im Südosten des Landes sowie der Entwicklungen nach dem Militärputschversuch vom Juli 2016 ist gemäss konstanter Praxis des Bundesverwaltungsgerichts – auch für Angehörige der kurdischen Eth- nie – nicht von einer Situation allgemeiner Gewalt oder bürgerkriegsähnli- chen Verhältnissen in der Türkei auszugehen (vgl. statt vieler Urteil des BVGer E-865/2023 vom 27. Februar 2023 E. 8.4.2).</w:t>
      </w:r>
    </w:p>
    <w:p>
      <w:r>
        <w:rPr>
          <w:b/>
        </w:rPr>
        <w:t>E. 8.3.2</w:t>
      </w:r>
    </w:p>
    <w:p>
      <w:r>
        <w:t>Zur Begründung hinsichtlich der individuellen Zumutbarkeit des Weg- weisungsvollzugs kann grundsätzlich vollumfänglich auf die zutreffenden Erwägungen der Vorinstanz verwiesen werden, denen vom Beschwerde- führer in der Rechtsmitteleingabe nichts entgegengesetzt wird. Der Be- schwerdeführer stammt aus B._______ und damit aus einer von den Erd- beben im Februar 2023 stark betroffenen Region. Sollte auch er individuell derart von dieser Naturkatastrophe betroffen sein, dass ihm ein Aufenthalt</w:t>
      </w:r>
    </w:p>
    <w:p>
      <w:r>
        <w:t>E-5699/2023 Seite 11 an seinem bisherigen Wohnort nicht mehr zugemutet werden könnte, ist es ihm – wie bereits im Zusammenhang mit der innerstaatliche Schutzalter- native ausgeführt – jedoch zumutbar, sich in einer anderen Region der Tür- kei niederzulassen (vgl. dazu ausführlich Urteil des BVGer E-1308/2023 vom 19. März 2024, zur Publikation als Referenzurteil vorgesehen).</w:t>
      </w:r>
    </w:p>
    <w:p>
      <w:r>
        <w:rPr>
          <w:b/>
        </w:rPr>
        <w:t>E. 8.3.3</w:t>
      </w:r>
    </w:p>
    <w:p>
      <w:r>
        <w:t>Nach dem Gesagten erweist sich der Vollzug der Wegweisung auch als zumutbar.</w:t>
      </w:r>
    </w:p>
    <w:p>
      <w:r>
        <w:rPr>
          <w:b/>
        </w:rPr>
        <w:t>E. 8.4</w:t>
      </w:r>
    </w:p>
    <w:p>
      <w:r>
        <w:t>Der Beschwerdeführer verfügt über eine türkische Identitätskarte und es ist ihm zuzumuten, sich bei der zuständigen Vertretung des Heimatstaa- tes die für eine Rückkehr weiteren notwendigen Reisedokumente zu be- 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 ten und Entschädigungen vor dem Bundesverwaltungsgericht [VGKE, SR 173.320.2]). Der am 31. Oktober 2023 geleistete Kostenvorschuss in der Höhe von Fr. 750.– ist zur Bezahlung der Verfahrenskosten zu verwen- den. (Dispositiv nächste Seite)</w:t>
      </w:r>
    </w:p>
    <w:p>
      <w:r>
        <w:t>E-5699/2023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