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E-5694/2021 vom 30. November 2021</w:t>
      </w:r>
    </w:p>
    <w:p>
      <w:r>
        <w:t>Bundesverwaltungsgericht, 2021-11-30, DE</w:t>
      </w:r>
    </w:p>
    <w:p>
      <w:r>
        <w:rPr>
          <w:b/>
        </w:rPr>
        <w:t xml:space="preserve">Quelle: </w:t>
      </w:r>
      <w:r>
        <w:t>https://mcp.opencaselaw.ch/entscheid/bvger_E-5694_2021_d20211130</w:t>
      </w:r>
    </w:p>
    <w:p>
      <w:r>
        <w:t>FR: TAF E-5694/2021 du 30 novembre 2021</w:t>
      </w:r>
    </w:p>
    <w:p>
      <w:r>
        <w:t>IT: TAF E-5694/2021 del 30 novembre 2021</w:t>
      </w:r>
    </w:p>
    <w:p>
      <w:pPr>
        <w:pStyle w:val="Heading2"/>
      </w:pPr>
      <w:r>
        <w:t>Regeste</w:t>
      </w:r>
    </w:p>
    <w:p>
      <w:r>
        <w:t>Asyl und Wegweisung | Asyl und Wegweisung; Verfügung des SEM vom 30. November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E-5694/2021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und seine Familienangehörigen haben zeitgleich in der Schweiz um Asyl nachgesucht. Das SEM hat in allen Verfahren ableh- nende Entscheide gefällt, wogegen Beschwerden am Bundesverwaltungs- gericht anhängig gemacht wurden (E-5696/2021 [volljähriger Bruder], E- 5697/2021 [Vater] und E-5698/2021 [Mutter sowie minderjährige Ge- schwister]). Entsprechend wird das vorliegende Beschwerdeverfahren mit den Verfahren der Familienangehörigen des Beschwerdeführers zeitlich koordiniert und vom gleichen Spruchkörper behandelt.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Erstrecken sich Verfolgungsmassnahmen neben der primär betroffenen Person auf Familienangehörige und Verwandte, liegt eine Reflexverfolgung vor. Diese ist flüchtlingsrechtlich relevant, wenn die von der Reflexverfol- gung betroffene Person ernsthaften Nachteilen im Sinne von Art. 3 Abs. 2 AsylG ausgesetzt ist oder sie die Zufügung solcher Nachteile mit beachtli- cher Wahrscheinlichkeit und in absehbarer Zukunft begründet befürchten muss (zum Begriff der Reflexverfolgung: BVGE 2007/19 E. 3.3 S. 225,</w:t>
      </w:r>
    </w:p>
    <w:p>
      <w:r>
        <w:t>E-5694/2021 Seite 6 unter Hinweis auf Entscheidungen und Mitteilungen der Schweizerischen Asylrekurskommission [EMARK] 1994 Nr. 5 E. 3h; vgl. ausserdem EMARK 1994 Nr. 17).</w:t>
      </w:r>
    </w:p>
    <w:p>
      <w:r>
        <w:rPr>
          <w:b/>
        </w:rPr>
        <w:t>E. 5.1</w:t>
      </w:r>
    </w:p>
    <w:p>
      <w:r>
        <w:t>In der angefochtenen Verfügung führt die Vorinstanz aus, es bestünden keine objektiven Anhaltspunkte dafür, dass der Beschwerdeführer wegen der geltend gemachten Verfolgung seines Vaters ebenfalls in flüchtlings- rechtlich relevanter Weise im Fokus der heimatlichen Behörden stehe. Ge- mäss Aussagen des Vaters seien die im Nordirak verbliebenen Verwandten von den Behörden nicht behelligt worden. Sodann sei im separaten Asyl- verfahren des Vaters dessen Flüchtlingseigenschaft verneint worden.</w:t>
      </w:r>
    </w:p>
    <w:p>
      <w:r>
        <w:rPr>
          <w:b/>
        </w:rPr>
        <w:t>E. 5.2</w:t>
      </w:r>
    </w:p>
    <w:p>
      <w:r>
        <w:t>In der Rechtsmitteleingabe macht der Beschwerdeführer geltend, ent- gegen der Ansicht der Vorinstanz sei von der Flüchtlingseigenschaft des Vaters auszugehen, weshalb er selber der erheblichen Gefahr einer Re- flexverfolgung ausgesetzt sei. Sodann seien inzwischen auch weitere An- gehörige im Heimatland durch die Behörden behelligt worden.</w:t>
      </w:r>
    </w:p>
    <w:p>
      <w:r>
        <w:rPr>
          <w:b/>
        </w:rPr>
        <w:t>E. 5.3</w:t>
      </w:r>
    </w:p>
    <w:p>
      <w:r>
        <w:t>In der Vernehmlassung führt die Vorinstanz im Wesentlichen aus, selbst bei Wahrunterstellung wäre aufgrund der Vorbringen des Beschwer- deführers nicht von dessen Flüchtlingseigenschaft auszugehen, zumal nur bei Personen, welche sich in der Öffentlichkeit besonders exponiert hätten, von einer flüchtlingsrechtlich relevanten Gefahr vor Verfolgung auszuge- hen sei. Weder der Beschwerdeführer noch sein Vater würden dieses Profil erfüllen.</w:t>
      </w:r>
    </w:p>
    <w:p>
      <w:r>
        <w:rPr>
          <w:b/>
        </w:rPr>
        <w:t>E. 6.1</w:t>
      </w:r>
    </w:p>
    <w:p>
      <w:r>
        <w:t>Der Beschwerdeführer begründet seine geltend gemachte Gefahr vor flüchtlingsrechtlich relevanter Verfolgung namentlich mit dem Umstand, dass der Vater in den Fokus der Behörden geraten sei, nachdem dieser sich politisch betätigt habe. Mithin macht er die Gefahr vor sogenannter Reflexverfolgung geltend. Er selber stand vor der Ausreise nicht im Fokus der Behörden (vgl. vgl. SEM-Akten A18/14 F48 ff.). In den parallel zum vorliegenden Verfahren anhängig gemachten Be- schwerdeverfahren des Vaters und der Mutter des Beschwerdeführers stellte das Bundesverwaltungsgericht fest, diese hätten ihre Flüchtlingsei- genschaft nicht glaubhaft machen können (vgl. Urteile des BVGer E-5697/2021 vom 2. Oktober 2024 sowie E-5698/2021 vom 2. Oktober 2024). Soweit der Beschwerdeführer auf Beschwerdeebene allgemein</w:t>
      </w:r>
    </w:p>
    <w:p>
      <w:r>
        <w:t>E-5694/2021 Seite 7 vorbringt, dass inzwischen auch Verwandte im Heimatland von den Behör- den bedrängt worden seien, ist dies nicht weiter belegt, wobei selbst bei Wahrunterstellung der Kontext zur Fluchtgeschichte des Beschwerdefüh- rers nicht zwingend hergestellt wäre. Im Verfahren des Vaters wurde so- dann festgehalten, dass die Beweismittel, insbesondere eine zu den Akten gegebene Vorladung sowie ein Haftbefehl, nicht überzeugend darlegen könnten, er sei aus den geltend gemachten Gründen ausgereist – auch wegen diverser Ungereimtheiten bezüglich Kontext, Inhalt und Beschaffen- heit der Vorladung beziehungsweise des Haftbefehls. Soweit sich der Be- schwerdeführer in der Rechtsmitteleingabe auf diese Dokumente beruft, vermag er daraus nichts zu seinen Gunsten abzuleiten. Im Ergebnis ist je- doch bereits angesichts des Umstandes, dass die Flüchtlingseigenschaft der Eltern verneint wurde, der vom Beschwerdeführer geltend gemachten Reflexverfolgung die Grundlage entzogen.</w:t>
      </w:r>
    </w:p>
    <w:p>
      <w:r>
        <w:rPr>
          <w:b/>
        </w:rPr>
        <w:t>E. 6.2</w:t>
      </w:r>
    </w:p>
    <w:p>
      <w:r>
        <w:t>Nach dem Gesagten hat das SEM zu Recht die Flüchtlingseigenschaft des Beschwerdeführers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E-5694/2021 Seite 8</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Nach den vorstehenden Ausführungen ge- lingt ihm das nicht. Auch die allgemeine Menschenrechtssituation im</w:t>
      </w:r>
    </w:p>
    <w:p>
      <w:r>
        <w:t>E-5694/2021 Seite 9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dem kürzlich ergangenen Referenzurteil D-913/2021 vom 19. März 2024 herrscht in den kurdischen Provinzen keine Situation allge- meiner Gewalt und die Sicherheitslage ist weitgehend stabil. Die sozioöko- nomische Lage ist zwar in gewissen Bereichen als angespannt zu bezeich- nen, generell ist aber von genügendem Zugang zu Strom, Wasser, Bildung und medizinischer Grundversorgung auszugehen. Bei Familien mit Kin- dern ist zu prüfen, ob gewisse begünstigende Faktoren, wie zum Beispiel bisherige berufliche Einbindung oder das Vorliegen eines stabilen Bezie- hungsnetzes die Wiedereingliederung und die wirtschaftliche Existenzsi- cherung ermöglichen. Für Personen mit gesundheitlichen Problemen muss die notwendige Behandlung gewährleistet sein (vgl. a.a.O. E. 14).</w:t>
      </w:r>
    </w:p>
    <w:p>
      <w:r>
        <w:rPr>
          <w:b/>
        </w:rPr>
        <w:t>E. 8.3.3</w:t>
      </w:r>
    </w:p>
    <w:p>
      <w:r>
        <w:t>Beim Beschwerdeführer handelt es sich um einen jungen und gesun- den Mann, welcher zwar noch keine Berufserfahrung sammeln konnte, aber mehrere Jahre die Schule besucht hat (vgl. SEM-Akten A18/14 F28 ff.). Sodann lebte er vor seiner Ausreise mit seinen Eltern sowie vier Geschwistern zusammen und verfügt im Heimatland über zahlreiche wei- tere Verwandte (vgl. a.a.O. F40 ff.). Die auf Beschwerdeeben pauschal ge- äusserte und nicht weiter substantiierte Behauptung, die entferntere Ver- wandtschaft des Beschwerdeführers habe sich von ihm und seinen Ange- hörigen mittlerweile abgewendet, wirkt nachgeschoben beziehungsweise als nicht glaubhaft. Entgegen den Darlegungen in der Beschwerdeschrift ist davon auszugehen, dass es dem Beschwerdeführer gelingen wird, sich in sozialer sowie – unter den ihm zumutbaren Anstrengungen – wirtschaft- licher Hinsicht wieder in der Heimat zu integrieren.</w:t>
      </w:r>
    </w:p>
    <w:p>
      <w:r>
        <w:t>E-5694/2021 Seite 10</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Da ihm mit Zwischen- verfügung vom 26. Januar 2021 die unentgeltliche Prozessführung ge- währt wurde und den Akten keine Hinweise für Veränderungen seiner fi- nanziellen Verhältnisse zu entnehmen sind, sind keine Verfahrenskosten zu erheben (Art. 1–3 des Reglements vom 21. Februar 2008 über die Kos- ten und Entschädigungen vor dem Bundesverwaltungsgericht [VGKE, SR 173.320.2]).</w:t>
      </w:r>
    </w:p>
    <w:p>
      <w:r>
        <w:rPr>
          <w:b/>
        </w:rPr>
        <w:t>E. 10.2</w:t>
      </w:r>
    </w:p>
    <w:p>
      <w:r>
        <w:t>Die amtliche Rechtsbeiständin reichte mit Schreiben vom 24. Juni 2022 eine Kostennote ein. Insgesamt weist sie einen zeitlichen Aufwand von 4 Stunden zu einem Stundenansatz von Fr. 200.– sowie Spesen in der Höhe von Fr. 40.– aus. Der deklarierte Aufwand erscheint angemessen und das amtliche Honorar ist daher auf insgesamt Fr. 840.– festzusetzen. Die- ser Betrag ist der amtlichen Rechtsbeiständin vom Bundesverwaltungsge- richt auszurichten.</w:t>
      </w:r>
    </w:p>
    <w:p>
      <w:r>
        <w:t>(Dispositiv nächste Seite)</w:t>
      </w:r>
    </w:p>
    <w:p>
      <w:r>
        <w:t>E-5694/2021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